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82B8D" w14:textId="77777777" w:rsidR="00776BC0" w:rsidRPr="00776BC0" w:rsidRDefault="00DA0D5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Aptos" w:hAnsi="Aptos"/>
          <w:b/>
          <w:bCs/>
          <w:color w:val="262626"/>
          <w:kern w:val="36"/>
          <w:sz w:val="28"/>
          <w:szCs w:val="28"/>
          <w:u w:color="262626"/>
        </w:rPr>
      </w:pPr>
      <w:r w:rsidRPr="00776BC0">
        <w:rPr>
          <w:rStyle w:val="Aucun"/>
          <w:rFonts w:ascii="Aptos" w:hAnsi="Aptos"/>
          <w:b/>
          <w:bCs/>
          <w:color w:val="262626"/>
          <w:kern w:val="36"/>
          <w:sz w:val="28"/>
          <w:szCs w:val="28"/>
          <w:u w:color="262626"/>
        </w:rPr>
        <w:t>Inégalités de revenus : après impôts, la France dans la moyenne,</w:t>
      </w:r>
    </w:p>
    <w:p w14:paraId="6E6D8E84" w14:textId="1933C7E4" w:rsidR="006D33AA" w:rsidRPr="00776BC0" w:rsidRDefault="00DA0D5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ptos" w:eastAsia="Calibri" w:hAnsi="Aptos" w:cs="Calibri"/>
          <w:sz w:val="28"/>
          <w:szCs w:val="28"/>
          <w:u w:color="000000"/>
        </w:rPr>
      </w:pPr>
      <w:r w:rsidRPr="00776BC0">
        <w:rPr>
          <w:rStyle w:val="Aucun"/>
          <w:rFonts w:ascii="Aptos" w:hAnsi="Aptos"/>
          <w:b/>
          <w:bCs/>
          <w:color w:val="262626"/>
          <w:kern w:val="36"/>
          <w:sz w:val="28"/>
          <w:szCs w:val="28"/>
          <w:u w:color="262626"/>
        </w:rPr>
        <w:t>mais avant impôts, elle est parmi les plus inégalitaires</w:t>
      </w:r>
    </w:p>
    <w:p w14:paraId="6E6D8E85" w14:textId="77777777" w:rsidR="006D33AA" w:rsidRPr="00776BC0" w:rsidRDefault="006D33A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p>
    <w:p w14:paraId="2F05BB4D" w14:textId="11623F2C" w:rsidR="00776BC0" w:rsidRPr="00776BC0" w:rsidRDefault="00776BC0" w:rsidP="00776BC0">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ptos" w:eastAsia="Calibri" w:hAnsi="Aptos" w:cs="Calibri"/>
          <w:sz w:val="24"/>
          <w:szCs w:val="24"/>
          <w:u w:color="000000"/>
        </w:rPr>
      </w:pPr>
      <w:r w:rsidRPr="00776BC0">
        <w:rPr>
          <w:rStyle w:val="Aucun"/>
          <w:rFonts w:ascii="Aptos" w:hAnsi="Aptos"/>
          <w:sz w:val="24"/>
          <w:szCs w:val="24"/>
          <w:u w:color="000000"/>
        </w:rPr>
        <w:t xml:space="preserve">Observatoire des inégalités, </w:t>
      </w:r>
      <w:r w:rsidR="00337F27">
        <w:rPr>
          <w:rStyle w:val="Aucun"/>
          <w:rFonts w:ascii="Aptos" w:hAnsi="Aptos"/>
          <w:sz w:val="24"/>
          <w:szCs w:val="24"/>
          <w:u w:color="000000"/>
        </w:rPr>
        <w:t>10 avril</w:t>
      </w:r>
      <w:r>
        <w:rPr>
          <w:rStyle w:val="Aucun"/>
          <w:rFonts w:ascii="Aptos" w:hAnsi="Aptos"/>
          <w:sz w:val="24"/>
          <w:szCs w:val="24"/>
          <w:u w:color="000000"/>
        </w:rPr>
        <w:t xml:space="preserve"> </w:t>
      </w:r>
      <w:r w:rsidRPr="00776BC0">
        <w:rPr>
          <w:rStyle w:val="Aucun"/>
          <w:rFonts w:ascii="Aptos" w:hAnsi="Aptos"/>
          <w:sz w:val="24"/>
          <w:szCs w:val="24"/>
          <w:u w:color="000000"/>
        </w:rPr>
        <w:t>2025</w:t>
      </w:r>
    </w:p>
    <w:p w14:paraId="6E6D8E86" w14:textId="77777777" w:rsidR="006D33AA" w:rsidRPr="00776BC0" w:rsidRDefault="00DA0D5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sz w:val="24"/>
          <w:szCs w:val="24"/>
          <w:u w:color="000000"/>
        </w:rPr>
      </w:pPr>
      <w:hyperlink r:id="rId7" w:history="1">
        <w:r w:rsidRPr="00776BC0">
          <w:rPr>
            <w:rStyle w:val="Hyperlink0"/>
            <w:rFonts w:ascii="Aptos" w:hAnsi="Aptos"/>
            <w:sz w:val="24"/>
            <w:szCs w:val="24"/>
            <w:u w:color="000000"/>
          </w:rPr>
          <w:t>https://www.inegalites.fr/Inegalites-de-revenus-apres-impots-la-France-dans-la-moyenne-mais-avant-impots</w:t>
        </w:r>
      </w:hyperlink>
    </w:p>
    <w:p w14:paraId="6E6D8E87" w14:textId="77777777" w:rsidR="006D33AA" w:rsidRPr="00776BC0" w:rsidRDefault="006D33A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Calibri" w:hAnsi="Aptos" w:cs="Calibri"/>
          <w:i/>
          <w:iCs/>
          <w:sz w:val="24"/>
          <w:szCs w:val="24"/>
          <w:u w:color="000000"/>
        </w:rPr>
      </w:pPr>
    </w:p>
    <w:p w14:paraId="6E6D8E89" w14:textId="77777777" w:rsidR="006D33AA" w:rsidRDefault="006D33AA">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ptos" w:eastAsia="Times New Roman" w:hAnsi="Aptos" w:cs="Times New Roman"/>
          <w:i/>
          <w:iCs/>
          <w:sz w:val="24"/>
          <w:szCs w:val="24"/>
          <w:u w:color="000000"/>
        </w:rPr>
      </w:pPr>
    </w:p>
    <w:p w14:paraId="70AF2961" w14:textId="03F60D31" w:rsidR="009C3721" w:rsidRPr="009C3721" w:rsidRDefault="00D865D8" w:rsidP="009C372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Times New Roman" w:hAnsi="Aptos"/>
          <w:sz w:val="24"/>
          <w:szCs w:val="24"/>
          <w:u w:color="000000"/>
        </w:rPr>
      </w:pPr>
      <w:r>
        <w:rPr>
          <w:rFonts w:ascii="Aptos" w:eastAsia="Times New Roman" w:hAnsi="Aptos"/>
          <w:sz w:val="24"/>
          <w:szCs w:val="24"/>
          <w:u w:color="000000"/>
        </w:rPr>
        <w:t>« </w:t>
      </w:r>
      <w:r w:rsidR="009C3721" w:rsidRPr="009C3721">
        <w:rPr>
          <w:rFonts w:ascii="Aptos" w:eastAsia="Times New Roman" w:hAnsi="Aptos"/>
          <w:sz w:val="24"/>
          <w:szCs w:val="24"/>
          <w:u w:color="000000"/>
        </w:rPr>
        <w:t>En matière d’inégalités, la France est un élève moyen si l’on s’en tient aux pays les plus riches et que l’on raisonne après la redistribution effectuée par les impôts et les prestations sociales. L’Hexagone se situe en position intermédiaire entre les pays du nord de l’Europe, qui font bien mieux, et les pays anglo-saxons et l’Italie par exemple qui font moins bien.</w:t>
      </w:r>
    </w:p>
    <w:p w14:paraId="0AD35BC9" w14:textId="364A1DDC" w:rsidR="009C3721" w:rsidRPr="009C3721" w:rsidRDefault="009C3721" w:rsidP="009C372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Times New Roman" w:hAnsi="Aptos"/>
          <w:sz w:val="24"/>
          <w:szCs w:val="24"/>
          <w:u w:color="000000"/>
        </w:rPr>
      </w:pPr>
      <w:r w:rsidRPr="009C3721">
        <w:rPr>
          <w:rFonts w:ascii="Aptos" w:eastAsia="Times New Roman" w:hAnsi="Aptos"/>
          <w:sz w:val="24"/>
          <w:szCs w:val="24"/>
          <w:u w:color="000000"/>
        </w:rPr>
        <w:t>Avec un indice de Gini</w:t>
      </w:r>
      <w:r w:rsidR="00DD08A4" w:rsidRPr="00DD08A4">
        <w:rPr>
          <w:rFonts w:ascii="Aptos" w:eastAsia="Times New Roman" w:hAnsi="Aptos"/>
          <w:sz w:val="24"/>
          <w:szCs w:val="24"/>
          <w:u w:color="000000"/>
          <w:vertAlign w:val="superscript"/>
        </w:rPr>
        <w:t>1</w:t>
      </w:r>
      <w:r w:rsidR="00D865D8">
        <w:rPr>
          <w:rFonts w:ascii="Aptos" w:eastAsia="Times New Roman" w:hAnsi="Aptos"/>
          <w:sz w:val="24"/>
          <w:szCs w:val="24"/>
          <w:u w:color="000000"/>
        </w:rPr>
        <w:t xml:space="preserve"> </w:t>
      </w:r>
      <w:r w:rsidRPr="009C3721">
        <w:rPr>
          <w:rFonts w:ascii="Aptos" w:eastAsia="Times New Roman" w:hAnsi="Aptos"/>
          <w:sz w:val="24"/>
          <w:szCs w:val="24"/>
          <w:u w:color="000000"/>
        </w:rPr>
        <w:t>de 0,298, la France se situe entre les Pays-Bas (0,295) et l’Allemagne (0,303). Les pays qui font vraiment mieux sont la Belgique, la Pologne et les pays du nord de l’Europe (Norvège, Danemark, Finlande et Suède). Le modèle social scandinave, même affaibli par les réformes récentes, demeure performant. À l’opposé, les pays les plus inégalitaires sont l’Italie, le Japon et surtout les pays anglo-saxons (États-Unis et Royaume-Uni), très riches mais où les prestations sociales sont beaucoup moins développées.</w:t>
      </w:r>
    </w:p>
    <w:p w14:paraId="1CEF6208" w14:textId="77777777" w:rsidR="009C3721" w:rsidRPr="00D865D8" w:rsidRDefault="009C3721" w:rsidP="009C372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Times New Roman" w:hAnsi="Aptos"/>
          <w:sz w:val="24"/>
          <w:szCs w:val="24"/>
          <w:u w:color="000000"/>
        </w:rPr>
      </w:pPr>
    </w:p>
    <w:p w14:paraId="350C7D1A" w14:textId="546857EA" w:rsidR="009C3721" w:rsidRPr="009C3721" w:rsidRDefault="009C3721" w:rsidP="009C372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Times New Roman" w:hAnsi="Aptos"/>
          <w:sz w:val="24"/>
          <w:szCs w:val="24"/>
          <w:u w:color="000000"/>
        </w:rPr>
      </w:pPr>
      <w:r w:rsidRPr="009C3721">
        <w:rPr>
          <w:rFonts w:ascii="Aptos" w:eastAsia="Times New Roman" w:hAnsi="Aptos"/>
          <w:sz w:val="24"/>
          <w:szCs w:val="24"/>
          <w:u w:color="000000"/>
        </w:rPr>
        <w:t>Ces données sont établies après impôts et prestations sociales, ce qui permet de comparer les niveaux de vie dont on dispose pour épargner ou consommer. Le classement change complètement si on mesure les inégalités avant redistribution : ce que chacun perçoit, à la base, de son travail ou du rendement de son patrimoine (des loyers par exemple). Les pays les plus égalitaires sont la Hongrie, la Suisse et la Corée du Sud. Les pays les plus inégalitaires sont les États-Unis, le Royaume-Uni et... la France. Dans une étude, l’Insee a montré que les écarts de revenus avant redistribution ont fortement progressé dans notre pays depuis le milieu des années 1990</w:t>
      </w:r>
      <w:r w:rsidR="00DD08A4" w:rsidRPr="00DD08A4">
        <w:rPr>
          <w:rFonts w:ascii="Aptos" w:eastAsia="Times New Roman" w:hAnsi="Aptos"/>
          <w:sz w:val="24"/>
          <w:szCs w:val="24"/>
          <w:u w:color="000000"/>
          <w:vertAlign w:val="superscript"/>
        </w:rPr>
        <w:t>2</w:t>
      </w:r>
      <w:r w:rsidRPr="009C3721">
        <w:rPr>
          <w:rFonts w:ascii="Aptos" w:eastAsia="Times New Roman" w:hAnsi="Aptos"/>
          <w:sz w:val="24"/>
          <w:szCs w:val="24"/>
          <w:u w:color="000000"/>
        </w:rPr>
        <w:t>.</w:t>
      </w:r>
    </w:p>
    <w:p w14:paraId="3B28157A" w14:textId="77777777" w:rsidR="009C3721" w:rsidRPr="009C3721" w:rsidRDefault="009C3721" w:rsidP="009C372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Times New Roman" w:hAnsi="Aptos"/>
          <w:sz w:val="24"/>
          <w:szCs w:val="24"/>
          <w:u w:color="000000"/>
        </w:rPr>
      </w:pPr>
      <w:r w:rsidRPr="009C3721">
        <w:rPr>
          <w:rFonts w:ascii="Aptos" w:eastAsia="Times New Roman" w:hAnsi="Aptos"/>
          <w:sz w:val="24"/>
          <w:szCs w:val="24"/>
          <w:u w:color="000000"/>
        </w:rPr>
        <w:t>La prudence est de mise avec ce classement, tant les méthodes de mesure divergent (voir encadré). Quoi qu’il en soit, la thèse assez répandue selon laquelle notre pays est très égalitaire est tout simplement fausse. Les écarts se réduisent après impôts et prestations sociales, mais l’Hexagone distribue de manière très inégalitaire les revenus à la base. Or, ce qui compte le plus souvent pour la population, c’est ce qu’elle retire de ses propres activités, en particulier de son travail qui représente 80 % de ses revenus. C’est de cette manière que l’on se compare aux autres. Les impôts et les prestations sociales viennent ensuite.</w:t>
      </w:r>
    </w:p>
    <w:p w14:paraId="0BCCCAA8" w14:textId="433A2D7C" w:rsidR="009C3721" w:rsidRPr="009C3721" w:rsidRDefault="009C3721" w:rsidP="009C372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Times New Roman" w:hAnsi="Aptos"/>
          <w:sz w:val="24"/>
          <w:szCs w:val="24"/>
          <w:u w:color="000000"/>
        </w:rPr>
      </w:pPr>
      <w:r w:rsidRPr="009C3721">
        <w:rPr>
          <w:rFonts w:ascii="Aptos" w:eastAsia="Times New Roman" w:hAnsi="Aptos"/>
          <w:sz w:val="24"/>
          <w:szCs w:val="24"/>
          <w:u w:color="000000"/>
        </w:rPr>
        <w:t>Comment expliquer la situation de la France ? Des éléments liés à la façon de mesurer les revenus pris en compte peuvent jouer, en partie. On sait aussi que la France est l’un des pays où les riches </w:t>
      </w:r>
      <w:r w:rsidRPr="009C3721">
        <w:rPr>
          <w:rFonts w:ascii="Aptos" w:eastAsia="Times New Roman" w:hAnsi="Aptos"/>
          <w:sz w:val="24"/>
          <w:szCs w:val="24"/>
        </w:rPr>
        <w:t>sont parmi les plus riches</w:t>
      </w:r>
      <w:r w:rsidRPr="009C3721">
        <w:rPr>
          <w:rFonts w:ascii="Aptos" w:eastAsia="Times New Roman" w:hAnsi="Aptos"/>
          <w:sz w:val="24"/>
          <w:szCs w:val="24"/>
          <w:u w:color="000000"/>
        </w:rPr>
        <w:t xml:space="preserve">. Que notre pays </w:t>
      </w:r>
      <w:proofErr w:type="gramStart"/>
      <w:r w:rsidR="00D865D8">
        <w:rPr>
          <w:rFonts w:ascii="Aptos" w:eastAsia="Times New Roman" w:hAnsi="Aptos"/>
          <w:sz w:val="24"/>
          <w:szCs w:val="24"/>
          <w:u w:color="000000"/>
        </w:rPr>
        <w:t>est</w:t>
      </w:r>
      <w:proofErr w:type="gramEnd"/>
      <w:r w:rsidR="00D865D8">
        <w:rPr>
          <w:rFonts w:ascii="Aptos" w:eastAsia="Times New Roman" w:hAnsi="Aptos"/>
          <w:sz w:val="24"/>
          <w:szCs w:val="24"/>
          <w:u w:color="000000"/>
        </w:rPr>
        <w:t xml:space="preserve"> </w:t>
      </w:r>
      <w:r w:rsidRPr="009C3721">
        <w:rPr>
          <w:rFonts w:ascii="Aptos" w:eastAsia="Times New Roman" w:hAnsi="Aptos"/>
          <w:sz w:val="24"/>
          <w:szCs w:val="24"/>
          <w:u w:color="000000"/>
        </w:rPr>
        <w:t>l’un de ceux où les écarts entre les élèves sont les plus </w:t>
      </w:r>
      <w:r w:rsidRPr="009C3721">
        <w:rPr>
          <w:rFonts w:ascii="Aptos" w:eastAsia="Times New Roman" w:hAnsi="Aptos"/>
          <w:sz w:val="24"/>
          <w:szCs w:val="24"/>
        </w:rPr>
        <w:t>élevés selon le milieu social</w:t>
      </w:r>
      <w:r w:rsidRPr="009C3721">
        <w:rPr>
          <w:rFonts w:ascii="Aptos" w:eastAsia="Times New Roman" w:hAnsi="Aptos"/>
          <w:sz w:val="24"/>
          <w:szCs w:val="24"/>
          <w:u w:color="000000"/>
        </w:rPr>
        <w:t xml:space="preserve"> et où le diplôme influence le plus les positions sociales. Ce qui joue aussi sur la répartition des salaires. Enfin, l’Insee note </w:t>
      </w:r>
      <w:r w:rsidR="00DA0D55">
        <w:rPr>
          <w:rFonts w:ascii="Times New Roman" w:eastAsia="Times New Roman" w:hAnsi="Times New Roman" w:cs="Times New Roman"/>
          <w:sz w:val="24"/>
          <w:szCs w:val="24"/>
          <w:u w:color="000000"/>
        </w:rPr>
        <w:t>"</w:t>
      </w:r>
      <w:r w:rsidRPr="009C3721">
        <w:rPr>
          <w:rFonts w:ascii="Aptos" w:eastAsia="Times New Roman" w:hAnsi="Aptos"/>
          <w:sz w:val="24"/>
          <w:szCs w:val="24"/>
          <w:u w:color="000000"/>
        </w:rPr>
        <w:t>la très forte hausse des revenus du patrimoine, en particulier des revenus immobiliers</w:t>
      </w:r>
      <w:r w:rsidR="00DA0D55">
        <w:rPr>
          <w:rFonts w:ascii="Times New Roman" w:eastAsia="Times New Roman" w:hAnsi="Times New Roman" w:cs="Times New Roman"/>
          <w:sz w:val="24"/>
          <w:szCs w:val="24"/>
          <w:u w:color="000000"/>
        </w:rPr>
        <w:t>"</w:t>
      </w:r>
      <w:r w:rsidRPr="009C3721">
        <w:rPr>
          <w:rFonts w:ascii="Aptos" w:eastAsia="Times New Roman" w:hAnsi="Aptos"/>
          <w:sz w:val="24"/>
          <w:szCs w:val="24"/>
          <w:u w:color="000000"/>
        </w:rPr>
        <w:t xml:space="preserve"> et que les dividendes (les revenus des actions) ont été multipliés par cinq entre 1996 et 2021. La France des riches se porte de mieux en mieux.</w:t>
      </w:r>
      <w:r w:rsidR="00D865D8">
        <w:rPr>
          <w:rFonts w:ascii="Aptos" w:eastAsia="Times New Roman" w:hAnsi="Aptos"/>
          <w:sz w:val="24"/>
          <w:szCs w:val="24"/>
          <w:u w:color="000000"/>
        </w:rPr>
        <w:t> »</w:t>
      </w:r>
    </w:p>
    <w:p w14:paraId="56AD998B" w14:textId="77777777" w:rsidR="009C3721" w:rsidRPr="00D865D8" w:rsidRDefault="009C372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ptos" w:eastAsia="Times New Roman" w:hAnsi="Aptos" w:cs="Times New Roman"/>
          <w:sz w:val="24"/>
          <w:szCs w:val="24"/>
          <w:u w:color="000000"/>
        </w:rPr>
      </w:pPr>
    </w:p>
    <w:p w14:paraId="50A8B772" w14:textId="77777777" w:rsidR="007B7F4C" w:rsidRDefault="007B7F4C">
      <w:pPr>
        <w:rPr>
          <w:rFonts w:ascii="Aptos" w:eastAsia="Times New Roman" w:hAnsi="Aptos"/>
          <w:b/>
          <w:bCs/>
          <w:i/>
          <w:iCs/>
          <w:color w:val="000000"/>
          <w:u w:color="000000"/>
          <w:lang w:eastAsia="fr-FR"/>
          <w14:textOutline w14:w="0" w14:cap="flat" w14:cmpd="sng" w14:algn="ctr">
            <w14:noFill/>
            <w14:prstDash w14:val="solid"/>
            <w14:bevel/>
          </w14:textOutline>
        </w:rPr>
      </w:pPr>
      <w:r>
        <w:rPr>
          <w:rFonts w:ascii="Aptos" w:eastAsia="Times New Roman" w:hAnsi="Aptos"/>
          <w:b/>
          <w:bCs/>
          <w:i/>
          <w:iCs/>
          <w:u w:color="000000"/>
        </w:rPr>
        <w:br w:type="page"/>
      </w:r>
    </w:p>
    <w:p w14:paraId="5737F739" w14:textId="09D8790E" w:rsidR="009C3721" w:rsidRPr="008C2058" w:rsidRDefault="007B7F4C" w:rsidP="00486B2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Aptos" w:eastAsia="Times New Roman" w:hAnsi="Aptos" w:cs="Times New Roman"/>
          <w:u w:color="000000"/>
        </w:rPr>
      </w:pPr>
      <w:r w:rsidRPr="007B7F4C">
        <w:rPr>
          <w:rFonts w:ascii="Aptos" w:eastAsia="Times New Roman" w:hAnsi="Aptos" w:cs="Times New Roman"/>
          <w:b/>
          <w:bCs/>
          <w:sz w:val="24"/>
          <w:szCs w:val="24"/>
          <w:u w:color="000000"/>
        </w:rPr>
        <w:lastRenderedPageBreak/>
        <w:t>Indicateur d'inégalités de revenus après redistribution</w:t>
      </w:r>
      <w:r w:rsidRPr="007B7F4C">
        <w:rPr>
          <w:rFonts w:ascii="Aptos" w:eastAsia="Times New Roman" w:hAnsi="Aptos" w:cs="Times New Roman"/>
          <w:b/>
          <w:bCs/>
          <w:sz w:val="24"/>
          <w:szCs w:val="24"/>
          <w:u w:color="000000"/>
        </w:rPr>
        <w:br/>
      </w:r>
      <w:r w:rsidRPr="008C2058">
        <w:rPr>
          <w:rFonts w:ascii="Aptos" w:eastAsia="Times New Roman" w:hAnsi="Aptos" w:cs="Times New Roman"/>
          <w:u w:color="000000"/>
        </w:rPr>
        <w:t>Unité : indice de Gini</w:t>
      </w:r>
    </w:p>
    <w:p w14:paraId="5F06D236" w14:textId="77777777" w:rsidR="00621C8B" w:rsidRDefault="009475D2" w:rsidP="00621C8B">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ptos" w:eastAsia="Times New Roman" w:hAnsi="Aptos"/>
          <w:i/>
          <w:iCs/>
          <w:u w:color="000000"/>
        </w:rPr>
      </w:pPr>
      <w:r w:rsidRPr="009475D2">
        <w:rPr>
          <w:rStyle w:val="Aucun"/>
          <w:rFonts w:ascii="Aptos" w:eastAsia="Times New Roman" w:hAnsi="Aptos" w:cs="Times New Roman"/>
          <w:i/>
          <w:iCs/>
          <w:noProof/>
          <w:sz w:val="24"/>
          <w:szCs w:val="24"/>
          <w:u w:color="000000"/>
        </w:rPr>
        <w:drawing>
          <wp:inline distT="0" distB="0" distL="0" distR="0" wp14:anchorId="51570C70" wp14:editId="338390F6">
            <wp:extent cx="4543425" cy="6531718"/>
            <wp:effectExtent l="0" t="0" r="0" b="2540"/>
            <wp:docPr id="608631480" name="Image 1" descr="Une image contenant texte, menu, capture d’écran, documen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631480" name="Image 1" descr="Une image contenant texte, menu, capture d’écran, document&#10;&#10;Le contenu généré par l’IA peut être incorrect."/>
                    <pic:cNvPicPr/>
                  </pic:nvPicPr>
                  <pic:blipFill>
                    <a:blip r:embed="rId8"/>
                    <a:stretch>
                      <a:fillRect/>
                    </a:stretch>
                  </pic:blipFill>
                  <pic:spPr>
                    <a:xfrm>
                      <a:off x="0" y="0"/>
                      <a:ext cx="4547860" cy="6538094"/>
                    </a:xfrm>
                    <a:prstGeom prst="rect">
                      <a:avLst/>
                    </a:prstGeom>
                  </pic:spPr>
                </pic:pic>
              </a:graphicData>
            </a:graphic>
          </wp:inline>
        </w:drawing>
      </w:r>
    </w:p>
    <w:p w14:paraId="3EFB76C7" w14:textId="54491653" w:rsidR="00621C8B" w:rsidRPr="008C2058" w:rsidRDefault="00621C8B" w:rsidP="00621C8B">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ptos" w:eastAsia="Times New Roman" w:hAnsi="Aptos"/>
          <w:u w:color="000000"/>
        </w:rPr>
      </w:pPr>
      <w:r w:rsidRPr="00621C8B">
        <w:rPr>
          <w:rFonts w:ascii="Aptos" w:eastAsia="Times New Roman" w:hAnsi="Aptos"/>
          <w:u w:color="000000"/>
        </w:rPr>
        <w:t>Revenus après impôts et prestations sociales.</w:t>
      </w:r>
      <w:r w:rsidRPr="00621C8B">
        <w:rPr>
          <w:rFonts w:ascii="Aptos" w:eastAsia="Times New Roman" w:hAnsi="Aptos"/>
          <w:u w:color="000000"/>
        </w:rPr>
        <w:br/>
      </w:r>
      <w:r w:rsidRPr="008C2058">
        <w:rPr>
          <w:rFonts w:ascii="Aptos" w:eastAsia="Times New Roman" w:hAnsi="Aptos"/>
          <w:u w:color="000000"/>
        </w:rPr>
        <w:t>Lecture : en Belgique, l’indice de Gini des inégalités de revenus est de 0,248.</w:t>
      </w:r>
      <w:r w:rsidRPr="008C2058">
        <w:rPr>
          <w:rFonts w:ascii="Aptos" w:eastAsia="Times New Roman" w:hAnsi="Aptos"/>
          <w:u w:color="000000"/>
        </w:rPr>
        <w:br/>
        <w:t>Source : OCDE – Données 2021 – © Observatoire des inégalités.</w:t>
      </w:r>
    </w:p>
    <w:p w14:paraId="277A9099" w14:textId="77777777" w:rsidR="00621C8B" w:rsidRDefault="00621C8B" w:rsidP="00621C8B">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rPr>
      </w:pPr>
    </w:p>
    <w:p w14:paraId="4467E3F3" w14:textId="77777777" w:rsidR="008C2058" w:rsidRDefault="008C2058" w:rsidP="00621C8B">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rPr>
      </w:pPr>
    </w:p>
    <w:p w14:paraId="10D863D7" w14:textId="101DB145" w:rsidR="00CC0E84" w:rsidRDefault="00CC0E84">
      <w:pPr>
        <w:rPr>
          <w:rFonts w:ascii="Helvetica Neue" w:eastAsia="Times New Roman" w:hAnsi="Helvetica Neue" w:cs="Arial Unicode MS"/>
          <w:color w:val="000000"/>
          <w:sz w:val="22"/>
          <w:szCs w:val="22"/>
          <w:lang w:val="fr-FR" w:eastAsia="fr-FR"/>
          <w14:textOutline w14:w="0" w14:cap="flat" w14:cmpd="sng" w14:algn="ctr">
            <w14:noFill/>
            <w14:prstDash w14:val="solid"/>
            <w14:bevel/>
          </w14:textOutline>
        </w:rPr>
      </w:pPr>
      <w:r>
        <w:rPr>
          <w:rFonts w:eastAsia="Times New Roman"/>
        </w:rPr>
        <w:br w:type="page"/>
      </w:r>
    </w:p>
    <w:p w14:paraId="5E265D03" w14:textId="77777777" w:rsidR="008C2058" w:rsidRDefault="008C2058" w:rsidP="00621C8B">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rPr>
      </w:pPr>
    </w:p>
    <w:p w14:paraId="2DE74D4F" w14:textId="5ED06340" w:rsidR="00621C8B" w:rsidRPr="008C2058" w:rsidRDefault="00621C8B" w:rsidP="00621C8B">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ptos" w:eastAsia="Times New Roman" w:hAnsi="Aptos"/>
          <w:u w:color="000000"/>
        </w:rPr>
      </w:pPr>
      <w:r w:rsidRPr="00621C8B">
        <w:rPr>
          <w:rFonts w:ascii="Aptos" w:eastAsia="Times New Roman" w:hAnsi="Aptos"/>
          <w:b/>
          <w:bCs/>
          <w:sz w:val="24"/>
          <w:szCs w:val="24"/>
          <w:u w:color="000000"/>
        </w:rPr>
        <w:t>Indicateur d'inégalités de revenus avant redistribution</w:t>
      </w:r>
      <w:r w:rsidRPr="00621C8B">
        <w:rPr>
          <w:rFonts w:ascii="Aptos" w:eastAsia="Times New Roman" w:hAnsi="Aptos"/>
          <w:b/>
          <w:bCs/>
          <w:sz w:val="24"/>
          <w:szCs w:val="24"/>
          <w:u w:color="000000"/>
        </w:rPr>
        <w:br/>
      </w:r>
      <w:r w:rsidRPr="00621C8B">
        <w:rPr>
          <w:rFonts w:ascii="Aptos" w:eastAsia="Times New Roman" w:hAnsi="Aptos"/>
          <w:u w:color="000000"/>
        </w:rPr>
        <w:t>Unité : Indice de Gin</w:t>
      </w:r>
      <w:r w:rsidRPr="008C2058">
        <w:rPr>
          <w:rFonts w:ascii="Aptos" w:eastAsia="Times New Roman" w:hAnsi="Aptos"/>
          <w:u w:color="000000"/>
        </w:rPr>
        <w:t>i</w:t>
      </w:r>
    </w:p>
    <w:p w14:paraId="77F1B86A" w14:textId="5A957AF9" w:rsidR="009475D2" w:rsidRDefault="00CC0E84" w:rsidP="00486B26">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Aptos" w:eastAsia="Times New Roman" w:hAnsi="Aptos" w:cs="Times New Roman"/>
          <w:i/>
          <w:iCs/>
          <w:sz w:val="24"/>
          <w:szCs w:val="24"/>
          <w:u w:color="000000"/>
        </w:rPr>
      </w:pPr>
      <w:r w:rsidRPr="00CC0E84">
        <w:rPr>
          <w:rStyle w:val="Aucun"/>
          <w:rFonts w:ascii="Aptos" w:eastAsia="Times New Roman" w:hAnsi="Aptos" w:cs="Times New Roman"/>
          <w:i/>
          <w:iCs/>
          <w:noProof/>
          <w:sz w:val="24"/>
          <w:szCs w:val="24"/>
          <w:u w:color="000000"/>
        </w:rPr>
        <w:drawing>
          <wp:inline distT="0" distB="0" distL="0" distR="0" wp14:anchorId="339B7B2C" wp14:editId="5F1594AB">
            <wp:extent cx="4895850" cy="6287990"/>
            <wp:effectExtent l="0" t="0" r="0" b="0"/>
            <wp:docPr id="1568423918" name="Image 1" descr="Une image contenant texte, capture d’écran, menu&#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23918" name="Image 1" descr="Une image contenant texte, capture d’écran, menu&#10;&#10;Le contenu généré par l’IA peut être incorrect."/>
                    <pic:cNvPicPr/>
                  </pic:nvPicPr>
                  <pic:blipFill>
                    <a:blip r:embed="rId9"/>
                    <a:stretch>
                      <a:fillRect/>
                    </a:stretch>
                  </pic:blipFill>
                  <pic:spPr>
                    <a:xfrm>
                      <a:off x="0" y="0"/>
                      <a:ext cx="4902926" cy="6297078"/>
                    </a:xfrm>
                    <a:prstGeom prst="rect">
                      <a:avLst/>
                    </a:prstGeom>
                  </pic:spPr>
                </pic:pic>
              </a:graphicData>
            </a:graphic>
          </wp:inline>
        </w:drawing>
      </w:r>
    </w:p>
    <w:p w14:paraId="5DDA50EA" w14:textId="4F173766" w:rsidR="00713F15" w:rsidRDefault="00713F15" w:rsidP="00713F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ptos" w:eastAsia="Times New Roman" w:hAnsi="Aptos" w:cs="Times New Roman"/>
          <w:u w:color="000000"/>
        </w:rPr>
      </w:pPr>
      <w:r w:rsidRPr="00713F15">
        <w:rPr>
          <w:rFonts w:ascii="Aptos" w:eastAsia="Times New Roman" w:hAnsi="Aptos" w:cs="Times New Roman"/>
          <w:u w:color="000000"/>
        </w:rPr>
        <w:t>Revenus avant impôts et prestations sociales pour les personnes de 15 à 64 ans.</w:t>
      </w:r>
      <w:r w:rsidRPr="00713F15">
        <w:rPr>
          <w:rFonts w:ascii="Aptos" w:eastAsia="Times New Roman" w:hAnsi="Aptos" w:cs="Times New Roman"/>
          <w:u w:color="000000"/>
        </w:rPr>
        <w:br/>
        <w:t>Lecture : en Grèce, l’indice de Gini des inégalités de revenus est de 0,437 avant redistribution.</w:t>
      </w:r>
      <w:r w:rsidRPr="00713F15">
        <w:rPr>
          <w:rFonts w:ascii="Aptos" w:eastAsia="Times New Roman" w:hAnsi="Aptos" w:cs="Times New Roman"/>
          <w:u w:color="000000"/>
        </w:rPr>
        <w:br/>
        <w:t>Source : OCDE – Données 2022 – © Observatoire des inégalités</w:t>
      </w:r>
      <w:r w:rsidR="00C26F8F">
        <w:rPr>
          <w:rFonts w:ascii="Aptos" w:eastAsia="Times New Roman" w:hAnsi="Aptos" w:cs="Times New Roman"/>
          <w:u w:color="000000"/>
        </w:rPr>
        <w:t>.</w:t>
      </w:r>
    </w:p>
    <w:p w14:paraId="67AD4756" w14:textId="77777777" w:rsidR="00C26F8F" w:rsidRDefault="00C26F8F" w:rsidP="00713F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ptos" w:eastAsia="Times New Roman" w:hAnsi="Aptos" w:cs="Times New Roman"/>
          <w:u w:color="000000"/>
        </w:rPr>
      </w:pPr>
    </w:p>
    <w:p w14:paraId="143FB02C" w14:textId="77777777" w:rsidR="00C26F8F" w:rsidRDefault="00C26F8F" w:rsidP="00713F1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ptos" w:eastAsia="Times New Roman" w:hAnsi="Aptos" w:cs="Times New Roman"/>
          <w:u w:color="000000"/>
        </w:rPr>
      </w:pPr>
    </w:p>
    <w:p w14:paraId="138B79DC" w14:textId="3599F5B3" w:rsidR="00C26F8F" w:rsidRPr="00C26F8F" w:rsidRDefault="00C26F8F" w:rsidP="00EC7F7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Times New Roman" w:hAnsi="Aptos"/>
          <w:sz w:val="20"/>
          <w:szCs w:val="20"/>
          <w:u w:color="000000"/>
        </w:rPr>
      </w:pPr>
      <w:r>
        <w:rPr>
          <w:rFonts w:ascii="Aptos" w:eastAsia="Times New Roman" w:hAnsi="Aptos"/>
          <w:sz w:val="20"/>
          <w:szCs w:val="20"/>
          <w:u w:color="000000"/>
        </w:rPr>
        <w:t xml:space="preserve">1. </w:t>
      </w:r>
      <w:r w:rsidRPr="00C26F8F">
        <w:rPr>
          <w:rFonts w:ascii="Aptos" w:eastAsia="Times New Roman" w:hAnsi="Aptos"/>
          <w:sz w:val="20"/>
          <w:szCs w:val="20"/>
          <w:u w:color="000000"/>
        </w:rPr>
        <w:t>L’indice de Gini mesure la répartition des revenus à l’intérieur de chaque pays et la compare à une situation d’égalité parfaite. Plus cet indice est élevé (il est compris entre 0 et 1), plus les inégalités sont importantes.</w:t>
      </w:r>
    </w:p>
    <w:p w14:paraId="68CE9C80" w14:textId="73F7D362" w:rsidR="00C26F8F" w:rsidRPr="00C26F8F" w:rsidRDefault="00C26F8F" w:rsidP="00EC7F7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ptos" w:eastAsia="Times New Roman" w:hAnsi="Aptos"/>
          <w:sz w:val="20"/>
          <w:szCs w:val="20"/>
          <w:u w:color="000000"/>
        </w:rPr>
      </w:pPr>
      <w:r>
        <w:rPr>
          <w:rFonts w:ascii="Aptos" w:eastAsia="Times New Roman" w:hAnsi="Aptos"/>
          <w:sz w:val="20"/>
          <w:szCs w:val="20"/>
          <w:u w:color="000000"/>
        </w:rPr>
        <w:t xml:space="preserve">2. </w:t>
      </w:r>
      <w:r w:rsidRPr="00C26F8F">
        <w:rPr>
          <w:rFonts w:ascii="Aptos" w:eastAsia="Times New Roman" w:hAnsi="Aptos"/>
          <w:sz w:val="20"/>
          <w:szCs w:val="20"/>
          <w:u w:color="000000"/>
        </w:rPr>
        <w:t>Depuis le milieu des années 1990, les inégalités de niveau de vie augmentent nettement avant redistribution mais de manière plus limitée après redistribution », Henri Martin, </w:t>
      </w:r>
      <w:r w:rsidRPr="00C26F8F">
        <w:rPr>
          <w:rFonts w:ascii="Aptos" w:eastAsia="Times New Roman" w:hAnsi="Aptos"/>
          <w:i/>
          <w:iCs/>
          <w:sz w:val="20"/>
          <w:szCs w:val="20"/>
          <w:u w:color="000000"/>
        </w:rPr>
        <w:t>in Les revenus et le patrimoine des ménages</w:t>
      </w:r>
      <w:r w:rsidRPr="00C26F8F">
        <w:rPr>
          <w:rFonts w:ascii="Aptos" w:eastAsia="Times New Roman" w:hAnsi="Aptos"/>
          <w:sz w:val="20"/>
          <w:szCs w:val="20"/>
          <w:u w:color="000000"/>
        </w:rPr>
        <w:t>, Insee références, Insee, octobre 2024.</w:t>
      </w:r>
    </w:p>
    <w:p w14:paraId="0BA0D39C" w14:textId="77777777" w:rsidR="00C26F8F" w:rsidRPr="00713F15" w:rsidRDefault="00C26F8F" w:rsidP="00EC7F78">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Aptos" w:eastAsia="Times New Roman" w:hAnsi="Aptos" w:cs="Times New Roman"/>
          <w:u w:color="000000"/>
        </w:rPr>
      </w:pPr>
    </w:p>
    <w:p w14:paraId="4AAD986E" w14:textId="00CB17BB" w:rsidR="00CC0E84" w:rsidRPr="00713F15" w:rsidRDefault="00CC0E84" w:rsidP="00713F15">
      <w:pPr>
        <w:rPr>
          <w:rStyle w:val="Aucun"/>
          <w:rFonts w:ascii="Aptos" w:eastAsia="Times New Roman" w:hAnsi="Aptos"/>
          <w:color w:val="000000"/>
          <w:sz w:val="22"/>
          <w:szCs w:val="22"/>
          <w:u w:color="000000"/>
          <w:lang w:val="fr-FR" w:eastAsia="fr-FR"/>
          <w14:textOutline w14:w="0" w14:cap="flat" w14:cmpd="sng" w14:algn="ctr">
            <w14:noFill/>
            <w14:prstDash w14:val="solid"/>
            <w14:bevel/>
          </w14:textOutline>
        </w:rPr>
      </w:pPr>
      <w:r w:rsidRPr="00713F15">
        <w:rPr>
          <w:rStyle w:val="Aucun"/>
          <w:rFonts w:ascii="Aptos" w:eastAsia="Times New Roman" w:hAnsi="Aptos"/>
          <w:sz w:val="22"/>
          <w:szCs w:val="22"/>
          <w:u w:color="000000"/>
        </w:rPr>
        <w:br w:type="page"/>
      </w:r>
    </w:p>
    <w:p w14:paraId="6E6D8E8A" w14:textId="77777777" w:rsidR="006D33AA" w:rsidRPr="00776BC0" w:rsidRDefault="00DA0D55">
      <w:pPr>
        <w:pStyle w:val="Corps"/>
        <w:pBdr>
          <w:top w:val="single" w:sz="4" w:space="1" w:color="000000"/>
          <w:left w:val="single" w:sz="4" w:space="1" w:color="000000"/>
          <w:bottom w:val="single" w:sz="4" w:space="1"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Aptos" w:eastAsia="Times New Roman" w:hAnsi="Aptos" w:cs="Times New Roman"/>
          <w:b/>
          <w:bCs/>
          <w:sz w:val="24"/>
          <w:szCs w:val="24"/>
          <w:u w:color="000000"/>
        </w:rPr>
      </w:pPr>
      <w:r w:rsidRPr="00776BC0">
        <w:rPr>
          <w:rStyle w:val="Aucun"/>
          <w:rFonts w:ascii="Aptos" w:hAnsi="Aptos"/>
          <w:b/>
          <w:bCs/>
          <w:sz w:val="24"/>
          <w:szCs w:val="24"/>
          <w:u w:color="000000"/>
        </w:rPr>
        <w:t>Exploitation pédagogique</w:t>
      </w:r>
    </w:p>
    <w:p w14:paraId="6E6D8E8B" w14:textId="77777777" w:rsidR="006D33AA" w:rsidRPr="00337F27" w:rsidRDefault="006D33AA">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eastAsia="Times New Roman" w:hAnsi="Aptos" w:cs="Times New Roman"/>
          <w:sz w:val="10"/>
          <w:szCs w:val="10"/>
          <w:u w:color="000000"/>
        </w:rPr>
      </w:pPr>
    </w:p>
    <w:p w14:paraId="6E6D8E8C" w14:textId="4DA3B4E7" w:rsidR="006D33AA" w:rsidRPr="00776BC0" w:rsidRDefault="006B138E" w:rsidP="00337F27">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Fonts w:ascii="Aptos" w:hAnsi="Aptos"/>
          <w:u w:color="000000"/>
        </w:rPr>
        <w:t xml:space="preserve">1. </w:t>
      </w:r>
      <w:r w:rsidR="00DA0D55" w:rsidRPr="00776BC0">
        <w:rPr>
          <w:rFonts w:ascii="Aptos" w:hAnsi="Aptos"/>
          <w:u w:color="000000"/>
        </w:rPr>
        <w:t>Quel indicateur est couramment utilisé pour mesurer les inégalités de revenus et que signifie-t-il ?</w:t>
      </w:r>
    </w:p>
    <w:p w14:paraId="6E6D8E8D" w14:textId="1F6E4584" w:rsidR="006D33AA" w:rsidRPr="00776BC0" w:rsidRDefault="006B138E" w:rsidP="00337F27">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Fonts w:ascii="Aptos" w:hAnsi="Aptos"/>
          <w:u w:color="000000"/>
        </w:rPr>
        <w:t xml:space="preserve">2. </w:t>
      </w:r>
      <w:r w:rsidR="00DA0D55" w:rsidRPr="00776BC0">
        <w:rPr>
          <w:rFonts w:ascii="Aptos" w:hAnsi="Aptos"/>
          <w:u w:color="000000"/>
        </w:rPr>
        <w:t>Comment se situe la France en matière d’inégalités par rapport aux autres pays riches après redistribution ?</w:t>
      </w:r>
    </w:p>
    <w:p w14:paraId="6E6D8E8E" w14:textId="01CF3D02" w:rsidR="006D33AA" w:rsidRPr="00776BC0" w:rsidRDefault="006B138E" w:rsidP="00337F27">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Fonts w:ascii="Aptos" w:hAnsi="Aptos"/>
          <w:u w:color="000000"/>
        </w:rPr>
        <w:t xml:space="preserve">3. </w:t>
      </w:r>
      <w:r w:rsidR="00DA0D55" w:rsidRPr="00776BC0">
        <w:rPr>
          <w:rFonts w:ascii="Aptos" w:hAnsi="Aptos"/>
          <w:u w:color="000000"/>
        </w:rPr>
        <w:t>Quel est le classement de la France en matière d’inégalités avant redistribution ?</w:t>
      </w:r>
    </w:p>
    <w:p w14:paraId="6E6D8E8F" w14:textId="3DAC0368" w:rsidR="006D33AA" w:rsidRPr="00776BC0" w:rsidRDefault="006B138E" w:rsidP="00337F27">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Fonts w:ascii="Aptos" w:hAnsi="Aptos"/>
          <w:u w:color="000000"/>
        </w:rPr>
        <w:t xml:space="preserve">4. </w:t>
      </w:r>
      <w:r w:rsidR="00DA0D55" w:rsidRPr="00776BC0">
        <w:rPr>
          <w:rFonts w:ascii="Aptos" w:hAnsi="Aptos"/>
          <w:u w:color="000000"/>
        </w:rPr>
        <w:t>Pourquoi peut-on dire que la France fait le « grand écart » en matière de distribution des revenus ?</w:t>
      </w:r>
    </w:p>
    <w:p w14:paraId="6E6D8E90" w14:textId="29F577B9" w:rsidR="006D33AA" w:rsidRPr="00776BC0" w:rsidRDefault="006B138E" w:rsidP="00337F27">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Fonts w:ascii="Aptos" w:hAnsi="Aptos"/>
          <w:u w:color="000000"/>
        </w:rPr>
        <w:t xml:space="preserve">5. </w:t>
      </w:r>
      <w:r w:rsidR="00DA0D55" w:rsidRPr="00776BC0">
        <w:rPr>
          <w:rFonts w:ascii="Aptos" w:hAnsi="Aptos"/>
          <w:u w:color="000000"/>
        </w:rPr>
        <w:t>Quels sont les facteurs explicatifs de la forte inégalité des revenus primaires en France ?</w:t>
      </w:r>
    </w:p>
    <w:p w14:paraId="6E6D8E91" w14:textId="77777777" w:rsidR="006D33AA" w:rsidRDefault="006D33AA">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Aptos" w:eastAsia="Times New Roman" w:hAnsi="Aptos" w:cs="Times New Roman"/>
          <w:u w:color="000000"/>
        </w:rPr>
      </w:pPr>
    </w:p>
    <w:p w14:paraId="7F59A822" w14:textId="77777777" w:rsidR="00C26F8F" w:rsidRDefault="00C26F8F">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Aptos" w:eastAsia="Times New Roman" w:hAnsi="Aptos" w:cs="Times New Roman"/>
          <w:u w:color="000000"/>
        </w:rPr>
      </w:pPr>
    </w:p>
    <w:p w14:paraId="23E5F99D" w14:textId="77777777" w:rsidR="00C26F8F" w:rsidRDefault="00C26F8F">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Aptos" w:eastAsia="Times New Roman" w:hAnsi="Aptos" w:cs="Times New Roman"/>
          <w:u w:color="000000"/>
        </w:rPr>
      </w:pPr>
    </w:p>
    <w:p w14:paraId="17DD9FAB" w14:textId="77777777" w:rsidR="00C26F8F" w:rsidRDefault="00C26F8F">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Aptos" w:eastAsia="Times New Roman" w:hAnsi="Aptos" w:cs="Times New Roman"/>
          <w:u w:color="000000"/>
        </w:rPr>
      </w:pPr>
    </w:p>
    <w:p w14:paraId="2150733B" w14:textId="77777777" w:rsidR="00C26F8F" w:rsidRPr="00776BC0" w:rsidRDefault="00C26F8F">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Aptos" w:eastAsia="Times New Roman" w:hAnsi="Aptos" w:cs="Times New Roman"/>
          <w:u w:color="000000"/>
        </w:rPr>
      </w:pPr>
    </w:p>
    <w:p w14:paraId="6E6D8E92" w14:textId="65C028F9" w:rsidR="006D33AA" w:rsidRPr="00776BC0" w:rsidRDefault="00DA0D55">
      <w:pPr>
        <w:pStyle w:val="Corps"/>
        <w:pBdr>
          <w:top w:val="single" w:sz="4" w:space="1" w:color="000000"/>
          <w:left w:val="single" w:sz="4" w:space="1" w:color="000000"/>
          <w:bottom w:val="single" w:sz="4" w:space="1"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Aptos" w:eastAsia="Times New Roman" w:hAnsi="Aptos" w:cs="Times New Roman"/>
          <w:b/>
          <w:bCs/>
          <w:sz w:val="24"/>
          <w:szCs w:val="24"/>
          <w:u w:color="000000"/>
        </w:rPr>
      </w:pPr>
      <w:r w:rsidRPr="00776BC0">
        <w:rPr>
          <w:rStyle w:val="Aucun"/>
          <w:rFonts w:ascii="Aptos" w:hAnsi="Aptos"/>
          <w:b/>
          <w:bCs/>
          <w:sz w:val="24"/>
          <w:szCs w:val="24"/>
          <w:u w:color="000000"/>
        </w:rPr>
        <w:t>Corr</w:t>
      </w:r>
      <w:r w:rsidR="00776BC0">
        <w:rPr>
          <w:rStyle w:val="Aucun"/>
          <w:rFonts w:ascii="Aptos" w:hAnsi="Aptos"/>
          <w:b/>
          <w:bCs/>
          <w:sz w:val="24"/>
          <w:szCs w:val="24"/>
          <w:u w:color="000000"/>
        </w:rPr>
        <w:t>igé</w:t>
      </w:r>
    </w:p>
    <w:p w14:paraId="6E6D8E93" w14:textId="77777777" w:rsidR="006D33AA" w:rsidRPr="00337F27" w:rsidRDefault="006D33AA">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Aptos" w:eastAsia="Times New Roman" w:hAnsi="Aptos" w:cs="Times New Roman"/>
          <w:sz w:val="10"/>
          <w:szCs w:val="10"/>
          <w:u w:color="000000"/>
        </w:rPr>
      </w:pPr>
    </w:p>
    <w:p w14:paraId="6E6D8E94" w14:textId="3B96EE45" w:rsidR="006D33AA" w:rsidRPr="00776BC0" w:rsidRDefault="006B138E" w:rsidP="00337F2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Style w:val="Aucun"/>
          <w:rFonts w:ascii="Aptos" w:hAnsi="Aptos"/>
          <w:u w:color="000000"/>
        </w:rPr>
        <w:t xml:space="preserve">1. </w:t>
      </w:r>
      <w:r w:rsidR="00DA0D55" w:rsidRPr="00776BC0">
        <w:rPr>
          <w:rStyle w:val="Aucun"/>
          <w:rFonts w:ascii="Aptos" w:hAnsi="Aptos"/>
          <w:u w:color="000000"/>
        </w:rPr>
        <w:t>L’indicateur le plus couramment utilisé pour mesurer les inégalités de revenus est l’indice de Gini qui varie entre 0 (égalité parfaite) et 1 (inégalité totale). Plus la valeur de cet indice est élevée</w:t>
      </w:r>
      <w:r w:rsidR="000024A0">
        <w:rPr>
          <w:rStyle w:val="Aucun"/>
          <w:rFonts w:ascii="Aptos" w:hAnsi="Aptos"/>
          <w:u w:color="000000"/>
        </w:rPr>
        <w:t xml:space="preserve">, </w:t>
      </w:r>
      <w:r w:rsidR="00DA0D55" w:rsidRPr="00776BC0">
        <w:rPr>
          <w:rStyle w:val="Aucun"/>
          <w:rFonts w:ascii="Aptos" w:hAnsi="Aptos"/>
          <w:u w:color="000000"/>
        </w:rPr>
        <w:t xml:space="preserve">plus la distribution des revenus est inégalitaire dans un pays. </w:t>
      </w:r>
    </w:p>
    <w:p w14:paraId="4E123DBE" w14:textId="77777777" w:rsidR="00337F27" w:rsidRDefault="00337F27" w:rsidP="00337F2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Aptos" w:hAnsi="Aptos"/>
          <w:u w:color="000000"/>
        </w:rPr>
      </w:pPr>
    </w:p>
    <w:p w14:paraId="6E6D8E95" w14:textId="2DEC3311" w:rsidR="006D33AA" w:rsidRPr="00776BC0" w:rsidRDefault="006B138E" w:rsidP="00337F2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Style w:val="Aucun"/>
          <w:rFonts w:ascii="Aptos" w:hAnsi="Aptos"/>
          <w:u w:color="000000"/>
        </w:rPr>
        <w:t xml:space="preserve">2. </w:t>
      </w:r>
      <w:r w:rsidR="00DA0D55" w:rsidRPr="00776BC0">
        <w:rPr>
          <w:rStyle w:val="Aucun"/>
          <w:rFonts w:ascii="Aptos" w:hAnsi="Aptos"/>
          <w:u w:color="000000"/>
        </w:rPr>
        <w:t>Après la redistribution (qui s’effectue par l’intermédiaire des impôts et des prestations sociales), la France se situe plutôt dans la moyenne des pays de l’OCDE avec un indice de Gini de 0,298. Les pays les plus égalitaires se trouvent en Europe du Nord (Suède, Norvège, Danemark, Finlande)</w:t>
      </w:r>
      <w:r w:rsidR="00441A1C">
        <w:rPr>
          <w:rStyle w:val="Aucun"/>
          <w:rFonts w:ascii="Aptos" w:hAnsi="Aptos"/>
          <w:u w:color="000000"/>
        </w:rPr>
        <w:t>. L</w:t>
      </w:r>
      <w:r w:rsidR="00DA0D55" w:rsidRPr="00776BC0">
        <w:rPr>
          <w:rStyle w:val="Aucun"/>
          <w:rFonts w:ascii="Aptos" w:hAnsi="Aptos"/>
          <w:u w:color="000000"/>
        </w:rPr>
        <w:t>es pays les plus inégalitaires sont les pays anglo-saxons</w:t>
      </w:r>
      <w:r w:rsidR="00441A1C">
        <w:rPr>
          <w:rStyle w:val="Aucun"/>
          <w:rFonts w:ascii="Aptos" w:hAnsi="Aptos"/>
          <w:u w:color="000000"/>
        </w:rPr>
        <w:t xml:space="preserve">, </w:t>
      </w:r>
      <w:r w:rsidR="00DA0D55" w:rsidRPr="00776BC0">
        <w:rPr>
          <w:rStyle w:val="Aucun"/>
          <w:rFonts w:ascii="Aptos" w:hAnsi="Aptos"/>
          <w:u w:color="000000"/>
        </w:rPr>
        <w:t>comme les États-Unis et le Royaume-Uni dans lesquels les prestations sociales sont moins développées.</w:t>
      </w:r>
    </w:p>
    <w:p w14:paraId="6210BAF2" w14:textId="77777777" w:rsidR="00337F27" w:rsidRDefault="00337F27" w:rsidP="00337F2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Aptos" w:hAnsi="Aptos"/>
          <w:u w:color="000000"/>
        </w:rPr>
      </w:pPr>
    </w:p>
    <w:p w14:paraId="6E6D8E96" w14:textId="1D3B2C3F" w:rsidR="006D33AA" w:rsidRPr="00776BC0" w:rsidRDefault="006B138E" w:rsidP="00337F2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Style w:val="Aucun"/>
          <w:rFonts w:ascii="Aptos" w:hAnsi="Aptos"/>
          <w:u w:color="000000"/>
        </w:rPr>
        <w:t xml:space="preserve">3. </w:t>
      </w:r>
      <w:r w:rsidR="00DA0D55" w:rsidRPr="00776BC0">
        <w:rPr>
          <w:rStyle w:val="Aucun"/>
          <w:rFonts w:ascii="Aptos" w:hAnsi="Aptos"/>
          <w:u w:color="000000"/>
        </w:rPr>
        <w:t xml:space="preserve">Avant la redistribution, la France apparaît comme l’un des pays les plus inégalitaires de l’OCDE, avec un indice de Gini de 0,438, juste devant le Royaume-Uni (0,462) et </w:t>
      </w:r>
      <w:r w:rsidR="00DA0D55" w:rsidRPr="00776BC0">
        <w:rPr>
          <w:rFonts w:ascii="Aptos" w:hAnsi="Aptos"/>
          <w:u w:color="000000"/>
        </w:rPr>
        <w:t>les États-Unis (0,472)</w:t>
      </w:r>
      <w:r w:rsidR="00DA0D55" w:rsidRPr="00776BC0">
        <w:rPr>
          <w:rStyle w:val="Aucun"/>
          <w:rFonts w:ascii="Aptos" w:hAnsi="Aptos"/>
          <w:u w:color="000000"/>
        </w:rPr>
        <w:t>. Cela montre également que les revenus primaires (salaires, revenus du patrimoine) sont très concentrés en amont de la redistribution.</w:t>
      </w:r>
    </w:p>
    <w:p w14:paraId="688C0533" w14:textId="77777777" w:rsidR="00337F27" w:rsidRDefault="00337F27" w:rsidP="00337F2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Aptos" w:hAnsi="Aptos"/>
          <w:u w:color="000000"/>
        </w:rPr>
      </w:pPr>
    </w:p>
    <w:p w14:paraId="6E6D8E97" w14:textId="137AE4B6" w:rsidR="006D33AA" w:rsidRPr="00776BC0" w:rsidRDefault="006B138E" w:rsidP="00337F2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Style w:val="Aucun"/>
          <w:rFonts w:ascii="Aptos" w:hAnsi="Aptos"/>
          <w:u w:color="000000"/>
        </w:rPr>
        <w:t xml:space="preserve">4. </w:t>
      </w:r>
      <w:r w:rsidR="00DA0D55" w:rsidRPr="00776BC0">
        <w:rPr>
          <w:rStyle w:val="Aucun"/>
          <w:rFonts w:ascii="Aptos" w:hAnsi="Aptos"/>
          <w:u w:color="000000"/>
        </w:rPr>
        <w:t>On peut dire que, d’une certaine manière, la France fait le « grand écart » en matière de redistribution des revenus dans la mesure où elle présente une forte inégalité des revenus avant redistribution qu’elle parvient à atténuer significativement grâce à des politiques fiscales et sociales. Ce constat met en lumière le rôle crucial de l’État-providence dans la réduction des inégalités.</w:t>
      </w:r>
    </w:p>
    <w:p w14:paraId="5D7CE613" w14:textId="77777777" w:rsidR="00337F27" w:rsidRDefault="00337F27" w:rsidP="00337F2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Aptos" w:hAnsi="Aptos"/>
          <w:u w:color="000000"/>
        </w:rPr>
      </w:pPr>
    </w:p>
    <w:p w14:paraId="6E6D8E98" w14:textId="38BB6DD1" w:rsidR="006D33AA" w:rsidRPr="00776BC0" w:rsidRDefault="006B138E" w:rsidP="00337F2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Aptos" w:hAnsi="Aptos"/>
          <w:u w:color="000000"/>
        </w:rPr>
      </w:pPr>
      <w:r>
        <w:rPr>
          <w:rStyle w:val="Aucun"/>
          <w:rFonts w:ascii="Aptos" w:hAnsi="Aptos"/>
          <w:u w:color="000000"/>
        </w:rPr>
        <w:t xml:space="preserve">5. </w:t>
      </w:r>
      <w:r w:rsidR="00DA0D55" w:rsidRPr="00776BC0">
        <w:rPr>
          <w:rStyle w:val="Aucun"/>
          <w:rFonts w:ascii="Aptos" w:hAnsi="Aptos"/>
          <w:u w:color="000000"/>
        </w:rPr>
        <w:t>Plusieurs facteurs peuvent expliquer la forte inégalité des revenus primaires. Tout d’abord, la France est caractérisée depuis les années 1990 par une forte hausse des revenus du patrimoine (immobilier et financier) des plus aisés. Les dividendes (revenus liés à la détention d’actions) ont ainsi été multipliés par cinq entre 1996 et 2021. Par ailleurs, il existe toujours des inégalités importantes en lien avec l’origine sociale, qui influence fortement les trajectoires scolaires et professionnelles (et donc le niveau des salaires).</w:t>
      </w:r>
    </w:p>
    <w:sectPr w:rsidR="006D33AA" w:rsidRPr="00776BC0">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5D012" w14:textId="77777777" w:rsidR="00CB79B4" w:rsidRDefault="00CB79B4">
      <w:r>
        <w:separator/>
      </w:r>
    </w:p>
  </w:endnote>
  <w:endnote w:type="continuationSeparator" w:id="0">
    <w:p w14:paraId="0677AA47" w14:textId="77777777" w:rsidR="00CB79B4" w:rsidRDefault="00CB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20146"/>
      <w:docPartObj>
        <w:docPartGallery w:val="Page Numbers (Bottom of Page)"/>
        <w:docPartUnique/>
      </w:docPartObj>
    </w:sdtPr>
    <w:sdtEndPr/>
    <w:sdtContent>
      <w:p w14:paraId="43FC2675" w14:textId="47D98EFD" w:rsidR="00713F15" w:rsidRDefault="00713F15">
        <w:pPr>
          <w:pStyle w:val="Pieddepage"/>
          <w:jc w:val="right"/>
        </w:pPr>
        <w:r>
          <w:fldChar w:fldCharType="begin"/>
        </w:r>
        <w:r>
          <w:instrText>PAGE   \* MERGEFORMAT</w:instrText>
        </w:r>
        <w:r>
          <w:fldChar w:fldCharType="separate"/>
        </w:r>
        <w:r>
          <w:rPr>
            <w:lang w:val="fr-FR"/>
          </w:rPr>
          <w:t>2</w:t>
        </w:r>
        <w:r>
          <w:fldChar w:fldCharType="end"/>
        </w:r>
      </w:p>
    </w:sdtContent>
  </w:sdt>
  <w:p w14:paraId="6E6D8E9A" w14:textId="77777777" w:rsidR="006D33AA" w:rsidRDefault="006D33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CDA4D" w14:textId="77777777" w:rsidR="00CB79B4" w:rsidRDefault="00CB79B4">
      <w:r>
        <w:separator/>
      </w:r>
    </w:p>
  </w:footnote>
  <w:footnote w:type="continuationSeparator" w:id="0">
    <w:p w14:paraId="3C3A2DC1" w14:textId="77777777" w:rsidR="00CB79B4" w:rsidRDefault="00CB7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0C35" w14:textId="3A3BBC7E" w:rsidR="001C761D" w:rsidRPr="00AE48FA" w:rsidRDefault="001C761D" w:rsidP="001C761D">
    <w:pPr>
      <w:pStyle w:val="En-tte"/>
      <w:jc w:val="right"/>
      <w:rPr>
        <w:rFonts w:ascii="Aptos" w:hAnsi="Aptos"/>
      </w:rPr>
    </w:pPr>
    <w:r w:rsidRPr="00AE48FA">
      <w:rPr>
        <w:rFonts w:ascii="Aptos" w:hAnsi="Aptos" w:cs="Calibri"/>
      </w:rPr>
      <w:t xml:space="preserve">Fiche </w:t>
    </w:r>
    <w:proofErr w:type="spellStart"/>
    <w:r w:rsidRPr="00AE48FA">
      <w:rPr>
        <w:rFonts w:ascii="Aptos" w:hAnsi="Aptos" w:cs="Calibri"/>
      </w:rPr>
      <w:t>d’exploitation</w:t>
    </w:r>
    <w:proofErr w:type="spellEnd"/>
    <w:r w:rsidRPr="00AE48FA">
      <w:rPr>
        <w:rFonts w:ascii="Aptos" w:hAnsi="Aptos" w:cs="Calibri"/>
      </w:rPr>
      <w:t xml:space="preserve"> </w:t>
    </w:r>
    <w:proofErr w:type="spellStart"/>
    <w:r w:rsidRPr="00AE48FA">
      <w:rPr>
        <w:rFonts w:ascii="Aptos" w:hAnsi="Aptos" w:cs="Calibri"/>
      </w:rPr>
      <w:t>pédagogique</w:t>
    </w:r>
    <w:proofErr w:type="spellEnd"/>
  </w:p>
  <w:p w14:paraId="155584B6" w14:textId="7F4D072C" w:rsidR="001C761D" w:rsidRPr="001C761D" w:rsidRDefault="001C761D" w:rsidP="001C761D">
    <w:pPr>
      <w:pStyle w:val="En-tte"/>
      <w:jc w:val="right"/>
      <w:rPr>
        <w:rFonts w:ascii="Aptos" w:hAnsi="Aptos" w:cs="Calibri"/>
        <w:sz w:val="22"/>
        <w:szCs w:val="22"/>
      </w:rPr>
    </w:pPr>
    <w:proofErr w:type="spellStart"/>
    <w:r w:rsidRPr="00AE48FA">
      <w:rPr>
        <w:rFonts w:ascii="Aptos" w:hAnsi="Aptos" w:cs="Calibri"/>
      </w:rPr>
      <w:t>Actu</w:t>
    </w:r>
    <w:proofErr w:type="spellEnd"/>
    <w:r w:rsidRPr="00AE48FA">
      <w:rPr>
        <w:rFonts w:ascii="Aptos" w:hAnsi="Aptos" w:cs="Calibri"/>
      </w:rPr>
      <w:t xml:space="preserve"> SES © Hatier – Nicolas Olivie</w:t>
    </w:r>
    <w:r>
      <w:rPr>
        <w:rFonts w:ascii="Aptos" w:hAnsi="Aptos" w:cs="Calibri"/>
      </w:rPr>
      <w:t>r</w:t>
    </w:r>
  </w:p>
  <w:p w14:paraId="0C616289" w14:textId="77777777" w:rsidR="001C761D" w:rsidRDefault="001C76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15538"/>
    <w:multiLevelType w:val="hybridMultilevel"/>
    <w:tmpl w:val="31A841EC"/>
    <w:styleLink w:val="Style2import"/>
    <w:lvl w:ilvl="0" w:tplc="7498810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ECA1E9E">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E6ECCB2">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C3A7A4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DEEF02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57867AA">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CDC0F2C">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F66D60C">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928DE3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EFC5948"/>
    <w:multiLevelType w:val="hybridMultilevel"/>
    <w:tmpl w:val="59CC4834"/>
    <w:numStyleLink w:val="Nombres"/>
  </w:abstractNum>
  <w:abstractNum w:abstractNumId="2" w15:restartNumberingAfterBreak="0">
    <w:nsid w:val="657B6CBC"/>
    <w:multiLevelType w:val="hybridMultilevel"/>
    <w:tmpl w:val="9FF060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A300003"/>
    <w:multiLevelType w:val="hybridMultilevel"/>
    <w:tmpl w:val="59CC4834"/>
    <w:styleLink w:val="Nombres"/>
    <w:lvl w:ilvl="0" w:tplc="3EC096F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BBEC05B6">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A7A6F06">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A440C024">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B01E0122">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B6823EAA">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91E8EE8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0D62DF54">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4D4367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C00582F"/>
    <w:multiLevelType w:val="hybridMultilevel"/>
    <w:tmpl w:val="31A841EC"/>
    <w:numStyleLink w:val="Style2import"/>
  </w:abstractNum>
  <w:num w:numId="1" w16cid:durableId="581720041">
    <w:abstractNumId w:val="0"/>
  </w:num>
  <w:num w:numId="2" w16cid:durableId="1981107082">
    <w:abstractNumId w:val="4"/>
  </w:num>
  <w:num w:numId="3" w16cid:durableId="1957323991">
    <w:abstractNumId w:val="3"/>
  </w:num>
  <w:num w:numId="4" w16cid:durableId="2097480728">
    <w:abstractNumId w:val="1"/>
  </w:num>
  <w:num w:numId="5" w16cid:durableId="1734959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3AA"/>
    <w:rsid w:val="000024A0"/>
    <w:rsid w:val="001A5A1D"/>
    <w:rsid w:val="001C761D"/>
    <w:rsid w:val="00337F27"/>
    <w:rsid w:val="00441A1C"/>
    <w:rsid w:val="00486B26"/>
    <w:rsid w:val="00556993"/>
    <w:rsid w:val="00621C8B"/>
    <w:rsid w:val="006B138E"/>
    <w:rsid w:val="006D33AA"/>
    <w:rsid w:val="00713F15"/>
    <w:rsid w:val="00776BC0"/>
    <w:rsid w:val="007B7F4C"/>
    <w:rsid w:val="008C2058"/>
    <w:rsid w:val="009475D2"/>
    <w:rsid w:val="009C3721"/>
    <w:rsid w:val="009C459D"/>
    <w:rsid w:val="00A16EC6"/>
    <w:rsid w:val="00C26F8F"/>
    <w:rsid w:val="00CB79B4"/>
    <w:rsid w:val="00CC0E84"/>
    <w:rsid w:val="00D865D8"/>
    <w:rsid w:val="00DA0D55"/>
    <w:rsid w:val="00DD08A4"/>
    <w:rsid w:val="00EC7F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D8E84"/>
  <w15:docId w15:val="{2A30A7E8-284E-45B8-9EE9-680FD02A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style>
  <w:style w:type="character" w:customStyle="1" w:styleId="Hyperlink0">
    <w:name w:val="Hyperlink.0"/>
    <w:basedOn w:val="Lienhypertexte"/>
    <w:rPr>
      <w:u w:val="single"/>
    </w:rPr>
  </w:style>
  <w:style w:type="paragraph" w:customStyle="1" w:styleId="Pardfaut">
    <w:name w:val="Par défau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yle2import">
    <w:name w:val="Style 2 importé"/>
    <w:pPr>
      <w:numPr>
        <w:numId w:val="1"/>
      </w:numPr>
    </w:pPr>
  </w:style>
  <w:style w:type="numbering" w:customStyle="1" w:styleId="Nombres">
    <w:name w:val="Nombres"/>
    <w:pPr>
      <w:numPr>
        <w:numId w:val="3"/>
      </w:numPr>
    </w:pPr>
  </w:style>
  <w:style w:type="character" w:styleId="Mentionnonrsolue">
    <w:name w:val="Unresolved Mention"/>
    <w:basedOn w:val="Policepardfaut"/>
    <w:uiPriority w:val="99"/>
    <w:semiHidden/>
    <w:unhideWhenUsed/>
    <w:rsid w:val="009C3721"/>
    <w:rPr>
      <w:color w:val="605E5C"/>
      <w:shd w:val="clear" w:color="auto" w:fill="E1DFDD"/>
    </w:rPr>
  </w:style>
  <w:style w:type="paragraph" w:styleId="En-tte">
    <w:name w:val="header"/>
    <w:basedOn w:val="Normal"/>
    <w:link w:val="En-tteCar"/>
    <w:uiPriority w:val="99"/>
    <w:unhideWhenUsed/>
    <w:rsid w:val="00713F15"/>
    <w:pPr>
      <w:tabs>
        <w:tab w:val="center" w:pos="4536"/>
        <w:tab w:val="right" w:pos="9072"/>
      </w:tabs>
    </w:pPr>
  </w:style>
  <w:style w:type="character" w:customStyle="1" w:styleId="En-tteCar">
    <w:name w:val="En-tête Car"/>
    <w:basedOn w:val="Policepardfaut"/>
    <w:link w:val="En-tte"/>
    <w:uiPriority w:val="99"/>
    <w:rsid w:val="00713F15"/>
    <w:rPr>
      <w:sz w:val="24"/>
      <w:szCs w:val="24"/>
      <w:lang w:val="en-US" w:eastAsia="en-US"/>
    </w:rPr>
  </w:style>
  <w:style w:type="paragraph" w:styleId="Pieddepage">
    <w:name w:val="footer"/>
    <w:basedOn w:val="Normal"/>
    <w:link w:val="PieddepageCar"/>
    <w:uiPriority w:val="99"/>
    <w:unhideWhenUsed/>
    <w:rsid w:val="00713F15"/>
    <w:pPr>
      <w:tabs>
        <w:tab w:val="center" w:pos="4536"/>
        <w:tab w:val="right" w:pos="9072"/>
      </w:tabs>
    </w:pPr>
  </w:style>
  <w:style w:type="character" w:customStyle="1" w:styleId="PieddepageCar">
    <w:name w:val="Pied de page Car"/>
    <w:basedOn w:val="Policepardfaut"/>
    <w:link w:val="Pieddepage"/>
    <w:uiPriority w:val="99"/>
    <w:rsid w:val="00713F1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81964">
      <w:bodyDiv w:val="1"/>
      <w:marLeft w:val="0"/>
      <w:marRight w:val="0"/>
      <w:marTop w:val="0"/>
      <w:marBottom w:val="0"/>
      <w:divBdr>
        <w:top w:val="none" w:sz="0" w:space="0" w:color="auto"/>
        <w:left w:val="none" w:sz="0" w:space="0" w:color="auto"/>
        <w:bottom w:val="none" w:sz="0" w:space="0" w:color="auto"/>
        <w:right w:val="none" w:sz="0" w:space="0" w:color="auto"/>
      </w:divBdr>
      <w:divsChild>
        <w:div w:id="1593080570">
          <w:marLeft w:val="0"/>
          <w:marRight w:val="0"/>
          <w:marTop w:val="750"/>
          <w:marBottom w:val="750"/>
          <w:divBdr>
            <w:top w:val="single" w:sz="6" w:space="15" w:color="E0E0E0"/>
            <w:left w:val="none" w:sz="0" w:space="0" w:color="auto"/>
            <w:bottom w:val="single" w:sz="6" w:space="15" w:color="E0E0E0"/>
            <w:right w:val="none" w:sz="0" w:space="0" w:color="auto"/>
          </w:divBdr>
        </w:div>
      </w:divsChild>
    </w:div>
    <w:div w:id="175267108">
      <w:bodyDiv w:val="1"/>
      <w:marLeft w:val="0"/>
      <w:marRight w:val="0"/>
      <w:marTop w:val="0"/>
      <w:marBottom w:val="0"/>
      <w:divBdr>
        <w:top w:val="none" w:sz="0" w:space="0" w:color="auto"/>
        <w:left w:val="none" w:sz="0" w:space="0" w:color="auto"/>
        <w:bottom w:val="none" w:sz="0" w:space="0" w:color="auto"/>
        <w:right w:val="none" w:sz="0" w:space="0" w:color="auto"/>
      </w:divBdr>
      <w:divsChild>
        <w:div w:id="2117821820">
          <w:marLeft w:val="0"/>
          <w:marRight w:val="0"/>
          <w:marTop w:val="0"/>
          <w:marBottom w:val="0"/>
          <w:divBdr>
            <w:top w:val="none" w:sz="0" w:space="0" w:color="auto"/>
            <w:left w:val="none" w:sz="0" w:space="0" w:color="auto"/>
            <w:bottom w:val="none" w:sz="0" w:space="0" w:color="auto"/>
            <w:right w:val="none" w:sz="0" w:space="0" w:color="auto"/>
          </w:divBdr>
        </w:div>
        <w:div w:id="2080471789">
          <w:marLeft w:val="0"/>
          <w:marRight w:val="0"/>
          <w:marTop w:val="0"/>
          <w:marBottom w:val="0"/>
          <w:divBdr>
            <w:top w:val="none" w:sz="0" w:space="0" w:color="auto"/>
            <w:left w:val="none" w:sz="0" w:space="0" w:color="auto"/>
            <w:bottom w:val="none" w:sz="0" w:space="0" w:color="auto"/>
            <w:right w:val="none" w:sz="0" w:space="0" w:color="auto"/>
          </w:divBdr>
        </w:div>
      </w:divsChild>
    </w:div>
    <w:div w:id="382869020">
      <w:bodyDiv w:val="1"/>
      <w:marLeft w:val="0"/>
      <w:marRight w:val="0"/>
      <w:marTop w:val="0"/>
      <w:marBottom w:val="0"/>
      <w:divBdr>
        <w:top w:val="none" w:sz="0" w:space="0" w:color="auto"/>
        <w:left w:val="none" w:sz="0" w:space="0" w:color="auto"/>
        <w:bottom w:val="none" w:sz="0" w:space="0" w:color="auto"/>
        <w:right w:val="none" w:sz="0" w:space="0" w:color="auto"/>
      </w:divBdr>
      <w:divsChild>
        <w:div w:id="379476421">
          <w:marLeft w:val="0"/>
          <w:marRight w:val="0"/>
          <w:marTop w:val="150"/>
          <w:marBottom w:val="300"/>
          <w:divBdr>
            <w:top w:val="none" w:sz="0" w:space="0" w:color="auto"/>
            <w:left w:val="none" w:sz="0" w:space="0" w:color="auto"/>
            <w:bottom w:val="none" w:sz="0" w:space="0" w:color="auto"/>
            <w:right w:val="none" w:sz="0" w:space="0" w:color="auto"/>
          </w:divBdr>
        </w:div>
        <w:div w:id="1368875185">
          <w:marLeft w:val="0"/>
          <w:marRight w:val="0"/>
          <w:marTop w:val="1050"/>
          <w:marBottom w:val="450"/>
          <w:divBdr>
            <w:top w:val="none" w:sz="0" w:space="0" w:color="auto"/>
            <w:left w:val="none" w:sz="0" w:space="0" w:color="auto"/>
            <w:bottom w:val="none" w:sz="0" w:space="0" w:color="auto"/>
            <w:right w:val="none" w:sz="0" w:space="0" w:color="auto"/>
          </w:divBdr>
        </w:div>
      </w:divsChild>
    </w:div>
    <w:div w:id="1708916882">
      <w:bodyDiv w:val="1"/>
      <w:marLeft w:val="0"/>
      <w:marRight w:val="0"/>
      <w:marTop w:val="0"/>
      <w:marBottom w:val="0"/>
      <w:divBdr>
        <w:top w:val="none" w:sz="0" w:space="0" w:color="auto"/>
        <w:left w:val="none" w:sz="0" w:space="0" w:color="auto"/>
        <w:bottom w:val="none" w:sz="0" w:space="0" w:color="auto"/>
        <w:right w:val="none" w:sz="0" w:space="0" w:color="auto"/>
      </w:divBdr>
      <w:divsChild>
        <w:div w:id="928074803">
          <w:marLeft w:val="0"/>
          <w:marRight w:val="0"/>
          <w:marTop w:val="750"/>
          <w:marBottom w:val="750"/>
          <w:divBdr>
            <w:top w:val="single" w:sz="6" w:space="15" w:color="E0E0E0"/>
            <w:left w:val="none" w:sz="0" w:space="0" w:color="auto"/>
            <w:bottom w:val="single" w:sz="6" w:space="15" w:color="E0E0E0"/>
            <w:right w:val="none" w:sz="0" w:space="0" w:color="auto"/>
          </w:divBdr>
        </w:div>
      </w:divsChild>
    </w:div>
    <w:div w:id="1861580756">
      <w:bodyDiv w:val="1"/>
      <w:marLeft w:val="0"/>
      <w:marRight w:val="0"/>
      <w:marTop w:val="0"/>
      <w:marBottom w:val="0"/>
      <w:divBdr>
        <w:top w:val="none" w:sz="0" w:space="0" w:color="auto"/>
        <w:left w:val="none" w:sz="0" w:space="0" w:color="auto"/>
        <w:bottom w:val="none" w:sz="0" w:space="0" w:color="auto"/>
        <w:right w:val="none" w:sz="0" w:space="0" w:color="auto"/>
      </w:divBdr>
      <w:divsChild>
        <w:div w:id="1379352306">
          <w:marLeft w:val="0"/>
          <w:marRight w:val="0"/>
          <w:marTop w:val="150"/>
          <w:marBottom w:val="300"/>
          <w:divBdr>
            <w:top w:val="none" w:sz="0" w:space="0" w:color="auto"/>
            <w:left w:val="none" w:sz="0" w:space="0" w:color="auto"/>
            <w:bottom w:val="none" w:sz="0" w:space="0" w:color="auto"/>
            <w:right w:val="none" w:sz="0" w:space="0" w:color="auto"/>
          </w:divBdr>
        </w:div>
        <w:div w:id="452211024">
          <w:marLeft w:val="0"/>
          <w:marRight w:val="0"/>
          <w:marTop w:val="1050"/>
          <w:marBottom w:val="450"/>
          <w:divBdr>
            <w:top w:val="none" w:sz="0" w:space="0" w:color="auto"/>
            <w:left w:val="none" w:sz="0" w:space="0" w:color="auto"/>
            <w:bottom w:val="none" w:sz="0" w:space="0" w:color="auto"/>
            <w:right w:val="none" w:sz="0" w:space="0" w:color="auto"/>
          </w:divBdr>
        </w:div>
      </w:divsChild>
    </w:div>
    <w:div w:id="1902445095">
      <w:bodyDiv w:val="1"/>
      <w:marLeft w:val="0"/>
      <w:marRight w:val="0"/>
      <w:marTop w:val="0"/>
      <w:marBottom w:val="0"/>
      <w:divBdr>
        <w:top w:val="none" w:sz="0" w:space="0" w:color="auto"/>
        <w:left w:val="none" w:sz="0" w:space="0" w:color="auto"/>
        <w:bottom w:val="none" w:sz="0" w:space="0" w:color="auto"/>
        <w:right w:val="none" w:sz="0" w:space="0" w:color="auto"/>
      </w:divBdr>
      <w:divsChild>
        <w:div w:id="1947998552">
          <w:marLeft w:val="0"/>
          <w:marRight w:val="0"/>
          <w:marTop w:val="0"/>
          <w:marBottom w:val="0"/>
          <w:divBdr>
            <w:top w:val="none" w:sz="0" w:space="0" w:color="auto"/>
            <w:left w:val="none" w:sz="0" w:space="0" w:color="auto"/>
            <w:bottom w:val="none" w:sz="0" w:space="0" w:color="auto"/>
            <w:right w:val="none" w:sz="0" w:space="0" w:color="auto"/>
          </w:divBdr>
        </w:div>
        <w:div w:id="16838916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egalites.fr/Inegalites-de-revenus-apres-impots-la-France-dans-la-moyenne-mais-avant-impo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1106</Words>
  <Characters>5830</Characters>
  <Application>Microsoft Office Word</Application>
  <DocSecurity>0</DocSecurity>
  <Lines>116</Lines>
  <Paragraphs>32</Paragraphs>
  <ScaleCrop>false</ScaleCrop>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HUTTEPAIN SOPHIE</cp:lastModifiedBy>
  <cp:revision>24</cp:revision>
  <dcterms:created xsi:type="dcterms:W3CDTF">2025-06-04T09:32:00Z</dcterms:created>
  <dcterms:modified xsi:type="dcterms:W3CDTF">2025-06-04T09:52:00Z</dcterms:modified>
</cp:coreProperties>
</file>