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AE429" w14:textId="77777777" w:rsidR="0029706B" w:rsidRPr="0029706B" w:rsidRDefault="00000000" w:rsidP="0029706B">
      <w:pPr>
        <w:pStyle w:val="Pardfaut"/>
        <w:suppressAutoHyphens/>
        <w:spacing w:before="0"/>
        <w:jc w:val="center"/>
        <w:rPr>
          <w:rStyle w:val="Aucun"/>
          <w:rFonts w:ascii="Aptos" w:hAnsi="Aptos"/>
          <w:b/>
          <w:bCs/>
          <w:color w:val="262626"/>
          <w:kern w:val="36"/>
          <w:sz w:val="28"/>
          <w:szCs w:val="28"/>
          <w:u w:color="262626"/>
        </w:rPr>
      </w:pPr>
      <w:r w:rsidRPr="0029706B">
        <w:rPr>
          <w:rStyle w:val="Aucun"/>
          <w:rFonts w:ascii="Aptos" w:hAnsi="Aptos"/>
          <w:b/>
          <w:bCs/>
          <w:color w:val="262626"/>
          <w:kern w:val="36"/>
          <w:sz w:val="28"/>
          <w:szCs w:val="28"/>
          <w:u w:color="262626"/>
        </w:rPr>
        <w:t>Peut-on vraiment comparer la dette de l’État</w:t>
      </w:r>
    </w:p>
    <w:p w14:paraId="23FE3785" w14:textId="745527F5" w:rsidR="009544DC" w:rsidRPr="0029706B" w:rsidRDefault="00000000" w:rsidP="0029706B">
      <w:pPr>
        <w:pStyle w:val="Pardfaut"/>
        <w:suppressAutoHyphens/>
        <w:spacing w:before="0"/>
        <w:jc w:val="center"/>
        <w:rPr>
          <w:rFonts w:ascii="Aptos" w:eastAsia="Georgia" w:hAnsi="Aptos" w:cs="Georgia"/>
          <w:b/>
          <w:bCs/>
          <w:color w:val="163860"/>
          <w:sz w:val="28"/>
          <w:szCs w:val="28"/>
        </w:rPr>
      </w:pPr>
      <w:r w:rsidRPr="0029706B">
        <w:rPr>
          <w:rStyle w:val="Aucun"/>
          <w:rFonts w:ascii="Aptos" w:hAnsi="Aptos"/>
          <w:b/>
          <w:bCs/>
          <w:color w:val="262626"/>
          <w:kern w:val="36"/>
          <w:sz w:val="28"/>
          <w:szCs w:val="28"/>
          <w:u w:color="262626"/>
        </w:rPr>
        <w:t>à la dette d</w:t>
      </w:r>
      <w:r w:rsidRPr="0029706B">
        <w:rPr>
          <w:rStyle w:val="Aucun"/>
          <w:rFonts w:ascii="Aptos" w:hAnsi="Aptos"/>
          <w:b/>
          <w:bCs/>
          <w:color w:val="262626"/>
          <w:kern w:val="36"/>
          <w:sz w:val="28"/>
          <w:szCs w:val="28"/>
          <w:u w:color="262626"/>
          <w:rtl/>
        </w:rPr>
        <w:t>’</w:t>
      </w:r>
      <w:r w:rsidRPr="0029706B">
        <w:rPr>
          <w:rStyle w:val="Aucun"/>
          <w:rFonts w:ascii="Aptos" w:hAnsi="Aptos"/>
          <w:b/>
          <w:bCs/>
          <w:color w:val="262626"/>
          <w:kern w:val="36"/>
          <w:sz w:val="28"/>
          <w:szCs w:val="28"/>
          <w:u w:color="262626"/>
        </w:rPr>
        <w:t>une famille </w:t>
      </w:r>
      <w:r w:rsidRPr="0029706B">
        <w:rPr>
          <w:rStyle w:val="Aucun"/>
          <w:rFonts w:ascii="Aptos" w:hAnsi="Aptos"/>
          <w:b/>
          <w:bCs/>
          <w:color w:val="262626"/>
          <w:kern w:val="36"/>
          <w:sz w:val="28"/>
          <w:szCs w:val="28"/>
          <w:u w:color="262626"/>
          <w:lang w:eastAsia="zh-TW"/>
        </w:rPr>
        <w:t>?</w:t>
      </w:r>
    </w:p>
    <w:p w14:paraId="768CC932" w14:textId="77777777" w:rsidR="0029706B" w:rsidRPr="0029706B" w:rsidRDefault="0029706B" w:rsidP="0029706B">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ptos" w:hAnsi="Aptos"/>
          <w:sz w:val="24"/>
          <w:szCs w:val="24"/>
        </w:rPr>
      </w:pPr>
    </w:p>
    <w:p w14:paraId="500A2D54" w14:textId="626426F3" w:rsidR="0029706B" w:rsidRPr="004C2407" w:rsidRDefault="004C2407" w:rsidP="0029706B">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Style w:val="Aucun"/>
          <w:rFonts w:ascii="Aptos" w:hAnsi="Aptos"/>
          <w:sz w:val="24"/>
          <w:szCs w:val="24"/>
          <w:u w:color="000000"/>
        </w:rPr>
      </w:pPr>
      <w:r w:rsidRPr="004C2407">
        <w:rPr>
          <w:rFonts w:ascii="Aptos" w:hAnsi="Aptos"/>
          <w:sz w:val="24"/>
          <w:szCs w:val="24"/>
          <w:u w:color="000000"/>
          <w:lang w:val="en-US"/>
        </w:rPr>
        <w:t>Timothée David</w:t>
      </w:r>
      <w:r w:rsidR="0029706B" w:rsidRPr="004C2407">
        <w:rPr>
          <w:rStyle w:val="Aucun"/>
          <w:rFonts w:ascii="Aptos" w:hAnsi="Aptos"/>
          <w:sz w:val="24"/>
          <w:szCs w:val="24"/>
          <w:u w:color="000000"/>
        </w:rPr>
        <w:t xml:space="preserve">, </w:t>
      </w:r>
      <w:r w:rsidR="00E03248" w:rsidRPr="004C2407">
        <w:rPr>
          <w:rFonts w:ascii="Aptos" w:hAnsi="Aptos"/>
          <w:sz w:val="24"/>
          <w:szCs w:val="24"/>
          <w:u w:color="000000"/>
        </w:rPr>
        <w:t>Podcast « Le journal de l'éco », France Culture,</w:t>
      </w:r>
      <w:r w:rsidR="00E03248" w:rsidRPr="004C2407">
        <w:rPr>
          <w:rFonts w:ascii="Aptos" w:hAnsi="Aptos"/>
          <w:sz w:val="24"/>
          <w:szCs w:val="24"/>
          <w:u w:color="000000"/>
        </w:rPr>
        <w:t xml:space="preserve"> </w:t>
      </w:r>
      <w:r w:rsidR="0029706B" w:rsidRPr="004C2407">
        <w:rPr>
          <w:rStyle w:val="Aucun"/>
          <w:rFonts w:ascii="Aptos" w:hAnsi="Aptos"/>
          <w:sz w:val="24"/>
          <w:szCs w:val="24"/>
          <w:u w:color="000000"/>
        </w:rPr>
        <w:t>6 novembre 2025</w:t>
      </w:r>
      <w:r w:rsidR="0029706B" w:rsidRPr="004C2407">
        <w:rPr>
          <w:rStyle w:val="Aucun"/>
          <w:rFonts w:ascii="Aptos" w:hAnsi="Aptos"/>
          <w:sz w:val="24"/>
          <w:szCs w:val="24"/>
          <w:u w:color="000000"/>
        </w:rPr>
        <w:t>.</w:t>
      </w:r>
    </w:p>
    <w:p w14:paraId="6AA4A7F4" w14:textId="4634E6F3" w:rsidR="009544DC" w:rsidRPr="0029706B" w:rsidRDefault="0029706B" w:rsidP="0029706B">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ptos" w:eastAsia="Calibri" w:hAnsi="Aptos" w:cs="Calibri"/>
          <w:sz w:val="24"/>
          <w:szCs w:val="24"/>
          <w:u w:color="000000"/>
        </w:rPr>
      </w:pPr>
      <w:hyperlink r:id="rId7" w:history="1">
        <w:r w:rsidRPr="0029706B">
          <w:rPr>
            <w:rStyle w:val="Lienhypertexte"/>
            <w:rFonts w:ascii="Aptos" w:hAnsi="Aptos"/>
            <w:sz w:val="24"/>
            <w:szCs w:val="24"/>
          </w:rPr>
          <w:t>https://www.radiofrance.fr/franceculture/podcasts/le-journal-de-l-eco/peut-on-vraiment-comparer-la-dette-de-l-etat-a-la-dette-d-une-famille-6638739</w:t>
        </w:r>
      </w:hyperlink>
    </w:p>
    <w:p w14:paraId="49CC3626" w14:textId="77777777" w:rsidR="009544DC" w:rsidRPr="0029706B" w:rsidRDefault="009544DC" w:rsidP="0029706B">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ptos" w:eastAsia="Calibri" w:hAnsi="Aptos" w:cs="Calibri"/>
          <w:i/>
          <w:iCs/>
          <w:sz w:val="24"/>
          <w:szCs w:val="24"/>
          <w:u w:color="000000"/>
        </w:rPr>
      </w:pPr>
    </w:p>
    <w:p w14:paraId="309E91C7" w14:textId="77777777" w:rsidR="009544DC" w:rsidRPr="0029706B" w:rsidRDefault="009544DC" w:rsidP="0029706B">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Style w:val="Aucun"/>
          <w:rFonts w:ascii="Aptos" w:eastAsia="Times New Roman" w:hAnsi="Aptos" w:cs="Times New Roman"/>
          <w:i/>
          <w:iCs/>
          <w:sz w:val="24"/>
          <w:szCs w:val="24"/>
          <w:u w:color="000000"/>
        </w:rPr>
      </w:pPr>
    </w:p>
    <w:p w14:paraId="4E4B5768" w14:textId="77777777" w:rsidR="009544DC" w:rsidRPr="0029706B" w:rsidRDefault="00000000" w:rsidP="0029706B">
      <w:pPr>
        <w:pStyle w:val="Corps"/>
        <w:pBdr>
          <w:top w:val="single" w:sz="4" w:space="1" w:color="000000"/>
          <w:left w:val="single" w:sz="4" w:space="1" w:color="000000"/>
          <w:bottom w:val="single" w:sz="4" w:space="1" w:color="000000"/>
          <w:right w:val="single" w:sz="4" w:space="1"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Style w:val="Aucun"/>
          <w:rFonts w:ascii="Aptos" w:eastAsia="Times New Roman" w:hAnsi="Aptos" w:cs="Times New Roman"/>
          <w:b/>
          <w:bCs/>
          <w:sz w:val="24"/>
          <w:szCs w:val="24"/>
          <w:u w:color="000000"/>
        </w:rPr>
      </w:pPr>
      <w:r w:rsidRPr="0029706B">
        <w:rPr>
          <w:rStyle w:val="Aucun"/>
          <w:rFonts w:ascii="Aptos" w:hAnsi="Aptos"/>
          <w:b/>
          <w:bCs/>
          <w:sz w:val="24"/>
          <w:szCs w:val="24"/>
          <w:u w:color="000000"/>
        </w:rPr>
        <w:t>Exploitation pédagogique</w:t>
      </w:r>
    </w:p>
    <w:p w14:paraId="3B652200" w14:textId="77777777" w:rsidR="009544DC" w:rsidRPr="0029706B" w:rsidRDefault="009544DC" w:rsidP="0029706B">
      <w:pPr>
        <w:pStyle w:val="Pardfau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Aptos" w:eastAsia="Times New Roman" w:hAnsi="Aptos" w:cs="Times New Roman"/>
          <w:sz w:val="10"/>
          <w:szCs w:val="10"/>
          <w:u w:color="000000"/>
        </w:rPr>
      </w:pPr>
    </w:p>
    <w:p w14:paraId="31D61F16" w14:textId="727D146B" w:rsidR="009544DC" w:rsidRPr="0029706B" w:rsidRDefault="0029706B" w:rsidP="0029706B">
      <w:pPr>
        <w:pStyle w:val="Pardfaut"/>
        <w:suppressAutoHyphens/>
        <w:spacing w:before="0"/>
        <w:jc w:val="both"/>
        <w:rPr>
          <w:rFonts w:ascii="Aptos" w:hAnsi="Aptos"/>
        </w:rPr>
      </w:pPr>
      <w:r w:rsidRPr="0029706B">
        <w:rPr>
          <w:rFonts w:ascii="Aptos" w:hAnsi="Aptos"/>
        </w:rPr>
        <w:t xml:space="preserve">1. </w:t>
      </w:r>
      <w:r w:rsidR="008F271D" w:rsidRPr="0029706B">
        <w:rPr>
          <w:rFonts w:ascii="Aptos" w:hAnsi="Aptos"/>
        </w:rPr>
        <w:t>À l’aide d’une recherche, distinguez le déficit public et la dette publique</w:t>
      </w:r>
      <w:r w:rsidR="005030BE" w:rsidRPr="0029706B">
        <w:rPr>
          <w:rFonts w:ascii="Aptos" w:hAnsi="Aptos"/>
        </w:rPr>
        <w:t>.</w:t>
      </w:r>
    </w:p>
    <w:p w14:paraId="7E735499" w14:textId="75513953" w:rsidR="009544DC" w:rsidRPr="0029706B" w:rsidRDefault="0029706B" w:rsidP="0029706B">
      <w:pPr>
        <w:pStyle w:val="Pardfaut"/>
        <w:suppressAutoHyphens/>
        <w:spacing w:before="0"/>
        <w:jc w:val="both"/>
        <w:rPr>
          <w:rFonts w:ascii="Aptos" w:hAnsi="Aptos"/>
        </w:rPr>
      </w:pPr>
      <w:r w:rsidRPr="0029706B">
        <w:rPr>
          <w:rFonts w:ascii="Aptos" w:hAnsi="Aptos"/>
        </w:rPr>
        <w:t xml:space="preserve">2. </w:t>
      </w:r>
      <w:r w:rsidR="00000000" w:rsidRPr="0029706B">
        <w:rPr>
          <w:rFonts w:ascii="Aptos" w:hAnsi="Aptos"/>
        </w:rPr>
        <w:t xml:space="preserve">Pourquoi la comparaison entre la dette de l’État et celle </w:t>
      </w:r>
      <w:r w:rsidRPr="0029706B">
        <w:rPr>
          <w:rFonts w:ascii="Aptos" w:hAnsi="Aptos"/>
        </w:rPr>
        <w:t>d’</w:t>
      </w:r>
      <w:r w:rsidR="00000000" w:rsidRPr="0029706B">
        <w:rPr>
          <w:rFonts w:ascii="Aptos" w:hAnsi="Aptos"/>
        </w:rPr>
        <w:t>un ménage est-elle fréquemment mobilisée dans le débat public ?</w:t>
      </w:r>
    </w:p>
    <w:p w14:paraId="298167F8" w14:textId="431EFFA2" w:rsidR="009544DC" w:rsidRPr="0029706B" w:rsidRDefault="0029706B" w:rsidP="0029706B">
      <w:pPr>
        <w:pStyle w:val="Pardfaut"/>
        <w:suppressAutoHyphens/>
        <w:spacing w:before="0"/>
        <w:jc w:val="both"/>
        <w:rPr>
          <w:rFonts w:ascii="Aptos" w:hAnsi="Aptos"/>
        </w:rPr>
      </w:pPr>
      <w:r w:rsidRPr="0029706B">
        <w:rPr>
          <w:rFonts w:ascii="Aptos" w:hAnsi="Aptos"/>
        </w:rPr>
        <w:t xml:space="preserve">3. </w:t>
      </w:r>
      <w:r w:rsidR="00000000" w:rsidRPr="0029706B">
        <w:rPr>
          <w:rFonts w:ascii="Aptos" w:hAnsi="Aptos"/>
        </w:rPr>
        <w:t>En quoi la durée de vie d</w:t>
      </w:r>
      <w:r w:rsidR="00000000" w:rsidRPr="0029706B">
        <w:rPr>
          <w:rFonts w:ascii="Aptos" w:hAnsi="Aptos"/>
          <w:rtl/>
        </w:rPr>
        <w:t>’</w:t>
      </w:r>
      <w:r w:rsidR="00000000" w:rsidRPr="0029706B">
        <w:rPr>
          <w:rFonts w:ascii="Aptos" w:hAnsi="Aptos"/>
        </w:rPr>
        <w:t>un État et sa capacité à se financer le distinguent-elles d</w:t>
      </w:r>
      <w:r w:rsidRPr="0029706B">
        <w:rPr>
          <w:rFonts w:ascii="Aptos" w:hAnsi="Aptos"/>
        </w:rPr>
        <w:t>’</w:t>
      </w:r>
      <w:r w:rsidR="00000000" w:rsidRPr="0029706B">
        <w:rPr>
          <w:rFonts w:ascii="Aptos" w:hAnsi="Aptos"/>
        </w:rPr>
        <w:t>un ménage</w:t>
      </w:r>
      <w:r w:rsidRPr="0029706B">
        <w:rPr>
          <w:rFonts w:ascii="Aptos" w:hAnsi="Aptos"/>
        </w:rPr>
        <w:t> ?</w:t>
      </w:r>
    </w:p>
    <w:p w14:paraId="647E6EA2" w14:textId="0DBE04C1" w:rsidR="009544DC" w:rsidRPr="0029706B" w:rsidRDefault="0029706B" w:rsidP="0029706B">
      <w:pPr>
        <w:pStyle w:val="Pardfaut"/>
        <w:suppressAutoHyphens/>
        <w:spacing w:before="0"/>
        <w:jc w:val="both"/>
        <w:rPr>
          <w:rFonts w:ascii="Aptos" w:hAnsi="Aptos"/>
        </w:rPr>
      </w:pPr>
      <w:r w:rsidRPr="0029706B">
        <w:rPr>
          <w:rFonts w:ascii="Aptos" w:hAnsi="Aptos"/>
        </w:rPr>
        <w:t xml:space="preserve">4. </w:t>
      </w:r>
      <w:r w:rsidR="00000000" w:rsidRPr="0029706B">
        <w:rPr>
          <w:rFonts w:ascii="Aptos" w:hAnsi="Aptos"/>
        </w:rPr>
        <w:t>Pourquoi l’État dispose-t-il d</w:t>
      </w:r>
      <w:r w:rsidR="00000000" w:rsidRPr="0029706B">
        <w:rPr>
          <w:rFonts w:ascii="Aptos" w:hAnsi="Aptos"/>
          <w:rtl/>
        </w:rPr>
        <w:t>’</w:t>
      </w:r>
      <w:r w:rsidR="00000000" w:rsidRPr="0029706B">
        <w:rPr>
          <w:rFonts w:ascii="Aptos" w:hAnsi="Aptos"/>
        </w:rPr>
        <w:t xml:space="preserve">une plus grande marge de manœuvre budgétaire </w:t>
      </w:r>
      <w:r w:rsidRPr="0029706B">
        <w:rPr>
          <w:rFonts w:ascii="Aptos" w:hAnsi="Aptos"/>
        </w:rPr>
        <w:t>qu’u</w:t>
      </w:r>
      <w:r w:rsidR="00000000" w:rsidRPr="0029706B">
        <w:rPr>
          <w:rFonts w:ascii="Aptos" w:hAnsi="Aptos"/>
        </w:rPr>
        <w:t>n ménage</w:t>
      </w:r>
      <w:r w:rsidRPr="0029706B">
        <w:rPr>
          <w:rFonts w:ascii="Aptos" w:hAnsi="Aptos"/>
        </w:rPr>
        <w:t> </w:t>
      </w:r>
      <w:r w:rsidR="00000000" w:rsidRPr="0029706B">
        <w:rPr>
          <w:rFonts w:ascii="Aptos" w:hAnsi="Aptos"/>
        </w:rPr>
        <w:t>?</w:t>
      </w:r>
    </w:p>
    <w:p w14:paraId="11B4CD6C" w14:textId="74EF6D26" w:rsidR="0029706B" w:rsidRPr="0029706B" w:rsidRDefault="0029706B" w:rsidP="0029706B">
      <w:pPr>
        <w:pStyle w:val="Pardfaut"/>
        <w:suppressAutoHyphens/>
        <w:spacing w:before="0"/>
        <w:jc w:val="both"/>
        <w:rPr>
          <w:rFonts w:ascii="Aptos" w:hAnsi="Aptos"/>
        </w:rPr>
      </w:pPr>
      <w:r w:rsidRPr="0029706B">
        <w:rPr>
          <w:rFonts w:ascii="Aptos" w:hAnsi="Aptos"/>
        </w:rPr>
        <w:t xml:space="preserve">5. </w:t>
      </w:r>
      <w:r w:rsidRPr="0029706B">
        <w:rPr>
          <w:rFonts w:ascii="Aptos" w:hAnsi="Aptos"/>
        </w:rPr>
        <w:t>Le patrimoine de l’État permet-il de compenser sa dette ?</w:t>
      </w:r>
    </w:p>
    <w:p w14:paraId="50A8DDB7" w14:textId="77777777" w:rsidR="0029706B" w:rsidRPr="0029706B" w:rsidRDefault="0029706B" w:rsidP="0029706B">
      <w:pPr>
        <w:pStyle w:val="Pardfaut"/>
        <w:suppressAutoHyphens/>
        <w:spacing w:before="0"/>
        <w:ind w:left="393"/>
        <w:jc w:val="both"/>
        <w:rPr>
          <w:rFonts w:ascii="Aptos" w:hAnsi="Aptos"/>
        </w:rPr>
      </w:pPr>
    </w:p>
    <w:p w14:paraId="291BDD75" w14:textId="77777777" w:rsidR="009544DC" w:rsidRPr="0029706B" w:rsidRDefault="009544DC" w:rsidP="0029706B">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spacing w:before="0"/>
        <w:ind w:left="720"/>
        <w:jc w:val="both"/>
        <w:rPr>
          <w:rFonts w:ascii="Aptos" w:eastAsia="Times New Roman" w:hAnsi="Aptos" w:cs="Times New Roman"/>
        </w:rPr>
      </w:pPr>
    </w:p>
    <w:p w14:paraId="2D0BAB58" w14:textId="64A77B01" w:rsidR="009544DC" w:rsidRPr="0029706B" w:rsidRDefault="00000000" w:rsidP="0029706B">
      <w:pPr>
        <w:pStyle w:val="Corps"/>
        <w:pBdr>
          <w:top w:val="single" w:sz="4" w:space="1" w:color="000000"/>
          <w:left w:val="single" w:sz="4" w:space="1" w:color="000000"/>
          <w:bottom w:val="single" w:sz="4" w:space="1" w:color="000000"/>
          <w:right w:val="single" w:sz="4" w:space="1"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Style w:val="Aucun"/>
          <w:rFonts w:ascii="Aptos" w:eastAsia="Times New Roman" w:hAnsi="Aptos" w:cs="Times New Roman"/>
          <w:b/>
          <w:bCs/>
          <w:sz w:val="24"/>
          <w:szCs w:val="24"/>
          <w:u w:color="000000"/>
        </w:rPr>
      </w:pPr>
      <w:r w:rsidRPr="0029706B">
        <w:rPr>
          <w:rStyle w:val="Aucun"/>
          <w:rFonts w:ascii="Aptos" w:hAnsi="Aptos"/>
          <w:b/>
          <w:bCs/>
          <w:sz w:val="24"/>
          <w:szCs w:val="24"/>
          <w:u w:color="000000"/>
        </w:rPr>
        <w:t>Corr</w:t>
      </w:r>
      <w:r w:rsidR="0029706B" w:rsidRPr="0029706B">
        <w:rPr>
          <w:rStyle w:val="Aucun"/>
          <w:rFonts w:ascii="Aptos" w:hAnsi="Aptos"/>
          <w:b/>
          <w:bCs/>
          <w:sz w:val="24"/>
          <w:szCs w:val="24"/>
          <w:u w:color="000000"/>
        </w:rPr>
        <w:t>igé</w:t>
      </w:r>
    </w:p>
    <w:p w14:paraId="33B920A4" w14:textId="77777777" w:rsidR="009544DC" w:rsidRPr="0029706B" w:rsidRDefault="009544DC" w:rsidP="0029706B">
      <w:pPr>
        <w:pStyle w:val="Pardfaut"/>
        <w:suppressAutoHyphens/>
        <w:spacing w:before="0"/>
        <w:jc w:val="both"/>
        <w:rPr>
          <w:rStyle w:val="Aucun"/>
          <w:rFonts w:ascii="Aptos" w:eastAsia="Times New Roman" w:hAnsi="Aptos" w:cs="Times New Roman"/>
          <w:sz w:val="10"/>
          <w:szCs w:val="10"/>
        </w:rPr>
      </w:pPr>
    </w:p>
    <w:p w14:paraId="60260CF7" w14:textId="3DAB451C" w:rsidR="009544DC" w:rsidRDefault="0029706B" w:rsidP="0029706B">
      <w:pPr>
        <w:pStyle w:val="Pardfaut"/>
        <w:suppressAutoHyphens/>
        <w:spacing w:before="0"/>
        <w:jc w:val="both"/>
        <w:rPr>
          <w:rStyle w:val="Aucun"/>
          <w:rFonts w:ascii="Aptos" w:hAnsi="Aptos"/>
        </w:rPr>
      </w:pPr>
      <w:r>
        <w:rPr>
          <w:rStyle w:val="Aucun"/>
          <w:rFonts w:ascii="Aptos" w:hAnsi="Aptos"/>
        </w:rPr>
        <w:t xml:space="preserve">1. </w:t>
      </w:r>
      <w:r w:rsidR="00000000" w:rsidRPr="0029706B">
        <w:rPr>
          <w:rStyle w:val="Aucun"/>
          <w:rFonts w:ascii="Aptos" w:hAnsi="Aptos"/>
        </w:rPr>
        <w:t>Le déficit public mesure le déséquilibre annuel qui peut exister entre les dépenses et les recettes publiques, tandis que la dette publique représente l</w:t>
      </w:r>
      <w:r w:rsidR="00000000" w:rsidRPr="0029706B">
        <w:rPr>
          <w:rStyle w:val="Aucun"/>
          <w:rFonts w:ascii="Aptos" w:hAnsi="Aptos"/>
          <w:rtl/>
        </w:rPr>
        <w:t>’</w:t>
      </w:r>
      <w:r w:rsidR="00000000" w:rsidRPr="0029706B">
        <w:rPr>
          <w:rStyle w:val="Aucun"/>
          <w:rFonts w:ascii="Aptos" w:hAnsi="Aptos"/>
        </w:rPr>
        <w:t>accumulation de ces déséquilibres dans le temps.</w:t>
      </w:r>
    </w:p>
    <w:p w14:paraId="2F361387" w14:textId="77777777" w:rsidR="0029706B" w:rsidRPr="0029706B" w:rsidRDefault="0029706B" w:rsidP="0029706B">
      <w:pPr>
        <w:pStyle w:val="Pardfaut"/>
        <w:suppressAutoHyphens/>
        <w:spacing w:before="0"/>
        <w:jc w:val="both"/>
        <w:rPr>
          <w:rFonts w:ascii="Aptos" w:hAnsi="Aptos"/>
        </w:rPr>
      </w:pPr>
    </w:p>
    <w:p w14:paraId="2ECC5452" w14:textId="43827885" w:rsidR="009544DC" w:rsidRDefault="0029706B" w:rsidP="0029706B">
      <w:pPr>
        <w:pStyle w:val="Pardfaut"/>
        <w:suppressAutoHyphens/>
        <w:spacing w:before="0"/>
        <w:jc w:val="both"/>
        <w:rPr>
          <w:rStyle w:val="Aucun"/>
          <w:rFonts w:ascii="Aptos" w:hAnsi="Aptos"/>
        </w:rPr>
      </w:pPr>
      <w:r>
        <w:rPr>
          <w:rStyle w:val="Aucun"/>
          <w:rFonts w:ascii="Aptos" w:hAnsi="Aptos"/>
        </w:rPr>
        <w:t xml:space="preserve">2. </w:t>
      </w:r>
      <w:r w:rsidR="00000000" w:rsidRPr="0029706B">
        <w:rPr>
          <w:rStyle w:val="Aucun"/>
          <w:rFonts w:ascii="Aptos" w:hAnsi="Aptos"/>
        </w:rPr>
        <w:t xml:space="preserve">Cette comparaison a pour objectif de rendre la </w:t>
      </w:r>
      <w:r w:rsidR="00D22A20" w:rsidRPr="0029706B">
        <w:rPr>
          <w:rStyle w:val="Aucun"/>
          <w:rFonts w:ascii="Aptos" w:hAnsi="Aptos"/>
        </w:rPr>
        <w:t xml:space="preserve">compréhension de la </w:t>
      </w:r>
      <w:r w:rsidR="00000000" w:rsidRPr="0029706B">
        <w:rPr>
          <w:rStyle w:val="Aucun"/>
          <w:rFonts w:ascii="Aptos" w:hAnsi="Aptos"/>
        </w:rPr>
        <w:t>situation budgétaire de l’État accessible à un large public. Elle s</w:t>
      </w:r>
      <w:r w:rsidR="00000000" w:rsidRPr="0029706B">
        <w:rPr>
          <w:rStyle w:val="Aucun"/>
          <w:rFonts w:ascii="Aptos" w:hAnsi="Aptos"/>
          <w:rtl/>
        </w:rPr>
        <w:t>’</w:t>
      </w:r>
      <w:r w:rsidR="00000000" w:rsidRPr="0029706B">
        <w:rPr>
          <w:rStyle w:val="Aucun"/>
          <w:rFonts w:ascii="Aptos" w:hAnsi="Aptos"/>
        </w:rPr>
        <w:t>appuie sur une expérience vécue quotidiennement – celle de la gestion d’un budget dans un ménage – afin d’alerter notamment sur les dangers d</w:t>
      </w:r>
      <w:r w:rsidR="00000000" w:rsidRPr="0029706B">
        <w:rPr>
          <w:rStyle w:val="Aucun"/>
          <w:rFonts w:ascii="Aptos" w:hAnsi="Aptos"/>
          <w:rtl/>
        </w:rPr>
        <w:t>’</w:t>
      </w:r>
      <w:r w:rsidR="00000000" w:rsidRPr="0029706B">
        <w:rPr>
          <w:rStyle w:val="Aucun"/>
          <w:rFonts w:ascii="Aptos" w:hAnsi="Aptos"/>
        </w:rPr>
        <w:t>un endettement excessif. D’un point de vue politique, cette comparaison permet aussi de justifier des politiques de rigueur (baisse des dépenses, hausse des prélèvements obligatoires) en invoquant le « bon sens » économique.</w:t>
      </w:r>
    </w:p>
    <w:p w14:paraId="08DDB355" w14:textId="77777777" w:rsidR="0029706B" w:rsidRPr="0029706B" w:rsidRDefault="0029706B" w:rsidP="0029706B">
      <w:pPr>
        <w:pStyle w:val="Pardfaut"/>
        <w:suppressAutoHyphens/>
        <w:spacing w:before="0"/>
        <w:jc w:val="both"/>
        <w:rPr>
          <w:rFonts w:ascii="Aptos" w:hAnsi="Aptos"/>
        </w:rPr>
      </w:pPr>
    </w:p>
    <w:p w14:paraId="6FCB998A" w14:textId="40976A80" w:rsidR="009544DC" w:rsidRDefault="0029706B" w:rsidP="0029706B">
      <w:pPr>
        <w:pStyle w:val="Pardfaut"/>
        <w:suppressAutoHyphens/>
        <w:spacing w:before="0"/>
        <w:jc w:val="both"/>
        <w:rPr>
          <w:rStyle w:val="Aucun"/>
          <w:rFonts w:ascii="Aptos" w:hAnsi="Aptos"/>
        </w:rPr>
      </w:pPr>
      <w:r>
        <w:rPr>
          <w:rStyle w:val="Aucun"/>
          <w:rFonts w:ascii="Aptos" w:hAnsi="Aptos"/>
        </w:rPr>
        <w:t xml:space="preserve">3. </w:t>
      </w:r>
      <w:r w:rsidR="00000000" w:rsidRPr="0029706B">
        <w:rPr>
          <w:rStyle w:val="Aucun"/>
          <w:rFonts w:ascii="Aptos" w:hAnsi="Aptos"/>
        </w:rPr>
        <w:t>Contrairement à un individu dont l</w:t>
      </w:r>
      <w:r w:rsidR="00A134EC" w:rsidRPr="0029706B">
        <w:rPr>
          <w:rStyle w:val="Aucun"/>
          <w:rFonts w:ascii="Aptos" w:hAnsi="Aptos"/>
        </w:rPr>
        <w:t>’</w:t>
      </w:r>
      <w:r w:rsidR="00000000" w:rsidRPr="0029706B">
        <w:rPr>
          <w:rStyle w:val="Aucun"/>
          <w:rFonts w:ascii="Aptos" w:hAnsi="Aptos"/>
        </w:rPr>
        <w:t>horizon de vie est limité, l’État a une existence qui est potentiellement infinie. Il peut donc théoriquement emprunter à long terme et refinancer sa dette en continu (c’est-à-dire emprunter pour honorer les échéances qu’il doit régler à ses créanciers). De plus, il ne peut pas vraiment « faire faillite » car il est souverain (il ne peut pas faire l’objet par exemple de procédures de saisie de la part de ses créanciers).</w:t>
      </w:r>
    </w:p>
    <w:p w14:paraId="698CD71A" w14:textId="77777777" w:rsidR="0029706B" w:rsidRPr="0029706B" w:rsidRDefault="0029706B" w:rsidP="0029706B">
      <w:pPr>
        <w:pStyle w:val="Pardfaut"/>
        <w:suppressAutoHyphens/>
        <w:spacing w:before="0"/>
        <w:jc w:val="both"/>
        <w:rPr>
          <w:rFonts w:ascii="Aptos" w:hAnsi="Aptos"/>
        </w:rPr>
      </w:pPr>
    </w:p>
    <w:p w14:paraId="70CE3579" w14:textId="1A3BD71A" w:rsidR="009544DC" w:rsidRDefault="0029706B" w:rsidP="0029706B">
      <w:pPr>
        <w:pStyle w:val="Pardfaut"/>
        <w:suppressAutoHyphens/>
        <w:spacing w:before="0"/>
        <w:jc w:val="both"/>
        <w:rPr>
          <w:rStyle w:val="Aucun"/>
          <w:rFonts w:ascii="Aptos" w:hAnsi="Aptos"/>
        </w:rPr>
      </w:pPr>
      <w:r>
        <w:rPr>
          <w:rStyle w:val="Aucun"/>
          <w:rFonts w:ascii="Aptos" w:hAnsi="Aptos"/>
        </w:rPr>
        <w:t xml:space="preserve">4. </w:t>
      </w:r>
      <w:r w:rsidR="00000000" w:rsidRPr="0029706B">
        <w:rPr>
          <w:rStyle w:val="Aucun"/>
          <w:rFonts w:ascii="Aptos" w:hAnsi="Aptos"/>
        </w:rPr>
        <w:t>L’État a la possibilité d’ajuster ses revenus via la fiscalité : il peut notamment augmenter le niveau de prélèvements obligatoires pour augmenter ses recettes et donc réduire son déficit. Par ailleurs, l’</w:t>
      </w:r>
      <w:r w:rsidR="00AF7303" w:rsidRPr="0029706B">
        <w:rPr>
          <w:rStyle w:val="Aucun"/>
          <w:rFonts w:ascii="Aptos" w:hAnsi="Aptos"/>
        </w:rPr>
        <w:t>É</w:t>
      </w:r>
      <w:r w:rsidR="00000000" w:rsidRPr="0029706B">
        <w:rPr>
          <w:rStyle w:val="Aucun"/>
          <w:rFonts w:ascii="Aptos" w:hAnsi="Aptos"/>
        </w:rPr>
        <w:t>tat peut émettre en continu des obligations pour se financer (obligations qui sont souscrites sur les marchés financiers). Un ménage, en revanche, dépend généralement de revenus fixes (salaires, revenus du patrimoine) et ne peut pas émettre d’obligations pour se financer en continu. La gestion de la dette publique est donc structurellement différente de celle d</w:t>
      </w:r>
      <w:r w:rsidR="00000000" w:rsidRPr="0029706B">
        <w:rPr>
          <w:rStyle w:val="Aucun"/>
          <w:rFonts w:ascii="Aptos" w:hAnsi="Aptos"/>
          <w:rtl/>
        </w:rPr>
        <w:t>’</w:t>
      </w:r>
      <w:r w:rsidR="00000000" w:rsidRPr="0029706B">
        <w:rPr>
          <w:rStyle w:val="Aucun"/>
          <w:rFonts w:ascii="Aptos" w:hAnsi="Aptos"/>
        </w:rPr>
        <w:t>un budget domestique.</w:t>
      </w:r>
    </w:p>
    <w:p w14:paraId="307ACCD2" w14:textId="77777777" w:rsidR="0029706B" w:rsidRPr="0029706B" w:rsidRDefault="0029706B" w:rsidP="0029706B">
      <w:pPr>
        <w:pStyle w:val="Pardfaut"/>
        <w:suppressAutoHyphens/>
        <w:spacing w:before="0"/>
        <w:jc w:val="both"/>
        <w:rPr>
          <w:rFonts w:ascii="Aptos" w:hAnsi="Aptos"/>
        </w:rPr>
      </w:pPr>
    </w:p>
    <w:p w14:paraId="69C563B3" w14:textId="3C13B4BC" w:rsidR="009544DC" w:rsidRPr="0029706B" w:rsidRDefault="0029706B" w:rsidP="0029706B">
      <w:pPr>
        <w:pStyle w:val="Pardfaut"/>
        <w:suppressAutoHyphens/>
        <w:spacing w:before="0"/>
        <w:jc w:val="both"/>
        <w:rPr>
          <w:rFonts w:ascii="Aptos" w:hAnsi="Aptos"/>
        </w:rPr>
      </w:pPr>
      <w:r>
        <w:rPr>
          <w:rStyle w:val="Aucun"/>
          <w:rFonts w:ascii="Aptos" w:hAnsi="Aptos"/>
        </w:rPr>
        <w:lastRenderedPageBreak/>
        <w:t xml:space="preserve">5. </w:t>
      </w:r>
      <w:r w:rsidR="00000000" w:rsidRPr="0029706B">
        <w:rPr>
          <w:rStyle w:val="Aucun"/>
          <w:rFonts w:ascii="Aptos" w:hAnsi="Aptos"/>
        </w:rPr>
        <w:t>Le patrimoine de l’État peut compenser en partie la dette, mais il faut noter que la valorisation de ce patrimoine est complexe. En effet, certains actifs sont non marchands (infrastructures, ronds-points), d</w:t>
      </w:r>
      <w:r w:rsidR="00000000" w:rsidRPr="0029706B">
        <w:rPr>
          <w:rStyle w:val="Aucun"/>
          <w:rFonts w:ascii="Aptos" w:hAnsi="Aptos"/>
          <w:rtl/>
        </w:rPr>
        <w:t>’</w:t>
      </w:r>
      <w:r w:rsidR="00000000" w:rsidRPr="0029706B">
        <w:rPr>
          <w:rStyle w:val="Aucun"/>
          <w:rFonts w:ascii="Aptos" w:hAnsi="Aptos"/>
        </w:rPr>
        <w:t xml:space="preserve">autres peu liquides (c’est-à-dire qu’ils peuvent difficilement être vendus). En outre, la dette </w:t>
      </w:r>
      <w:r w:rsidR="00E227CA" w:rsidRPr="0029706B">
        <w:rPr>
          <w:rStyle w:val="Aucun"/>
          <w:rFonts w:ascii="Aptos" w:hAnsi="Aptos"/>
        </w:rPr>
        <w:t xml:space="preserve">publique </w:t>
      </w:r>
      <w:r w:rsidR="00000000" w:rsidRPr="0029706B">
        <w:rPr>
          <w:rStyle w:val="Aucun"/>
          <w:rFonts w:ascii="Aptos" w:hAnsi="Aptos"/>
        </w:rPr>
        <w:t>récente a tendance à financer davantage des dépenses courantes (de fonctionnement) plutôt que des investissements durables, ce qui fragilise l</w:t>
      </w:r>
      <w:r w:rsidR="00000000" w:rsidRPr="0029706B">
        <w:rPr>
          <w:rStyle w:val="Aucun"/>
          <w:rFonts w:ascii="Aptos" w:hAnsi="Aptos"/>
          <w:rtl/>
        </w:rPr>
        <w:t>’</w:t>
      </w:r>
      <w:r w:rsidR="00000000" w:rsidRPr="0029706B">
        <w:rPr>
          <w:rStyle w:val="Aucun"/>
          <w:rFonts w:ascii="Aptos" w:hAnsi="Aptos"/>
        </w:rPr>
        <w:t>argument d</w:t>
      </w:r>
      <w:r w:rsidR="00000000" w:rsidRPr="0029706B">
        <w:rPr>
          <w:rStyle w:val="Aucun"/>
          <w:rFonts w:ascii="Aptos" w:hAnsi="Aptos"/>
          <w:rtl/>
        </w:rPr>
        <w:t>’</w:t>
      </w:r>
      <w:r w:rsidR="00000000" w:rsidRPr="0029706B">
        <w:rPr>
          <w:rStyle w:val="Aucun"/>
          <w:rFonts w:ascii="Aptos" w:hAnsi="Aptos"/>
        </w:rPr>
        <w:t>une dette qui serait « adossée » à des actifs.</w:t>
      </w:r>
    </w:p>
    <w:sectPr w:rsidR="009544DC" w:rsidRPr="0029706B">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43A84" w14:textId="77777777" w:rsidR="00C602BC" w:rsidRDefault="00C602BC">
      <w:r>
        <w:separator/>
      </w:r>
    </w:p>
  </w:endnote>
  <w:endnote w:type="continuationSeparator" w:id="0">
    <w:p w14:paraId="48365A17" w14:textId="77777777" w:rsidR="00C602BC" w:rsidRDefault="00C60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8254136"/>
      <w:docPartObj>
        <w:docPartGallery w:val="Page Numbers (Bottom of Page)"/>
        <w:docPartUnique/>
      </w:docPartObj>
    </w:sdtPr>
    <w:sdtContent>
      <w:p w14:paraId="3039A381" w14:textId="312D813F" w:rsidR="008449FD" w:rsidRDefault="008449FD">
        <w:pPr>
          <w:pStyle w:val="Pieddepage"/>
          <w:jc w:val="right"/>
        </w:pPr>
        <w:r>
          <w:fldChar w:fldCharType="begin"/>
        </w:r>
        <w:r>
          <w:instrText>PAGE   \* MERGEFORMAT</w:instrText>
        </w:r>
        <w:r>
          <w:fldChar w:fldCharType="separate"/>
        </w:r>
        <w:r>
          <w:rPr>
            <w:lang w:val="fr-FR"/>
          </w:rPr>
          <w:t>2</w:t>
        </w:r>
        <w:r>
          <w:fldChar w:fldCharType="end"/>
        </w:r>
      </w:p>
    </w:sdtContent>
  </w:sdt>
  <w:p w14:paraId="1D70827E" w14:textId="77777777" w:rsidR="008449FD" w:rsidRDefault="008449F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146AF" w14:textId="77777777" w:rsidR="00C602BC" w:rsidRDefault="00C602BC">
      <w:r>
        <w:separator/>
      </w:r>
    </w:p>
  </w:footnote>
  <w:footnote w:type="continuationSeparator" w:id="0">
    <w:p w14:paraId="051DEB7C" w14:textId="77777777" w:rsidR="00C602BC" w:rsidRDefault="00C60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3A880" w14:textId="0783AAFF" w:rsidR="008449FD" w:rsidRPr="007D48D0" w:rsidRDefault="008449FD" w:rsidP="008449FD">
    <w:pPr>
      <w:pStyle w:val="En-tte"/>
      <w:jc w:val="right"/>
      <w:rPr>
        <w:rFonts w:ascii="Aptos" w:hAnsi="Aptos"/>
      </w:rPr>
    </w:pPr>
    <w:r w:rsidRPr="007D48D0">
      <w:rPr>
        <w:rFonts w:ascii="Aptos" w:hAnsi="Aptos" w:cs="Calibri"/>
      </w:rPr>
      <w:t>Fiche d’exploitation pédagogique</w:t>
    </w:r>
  </w:p>
  <w:p w14:paraId="36DEB5AA" w14:textId="0F09412F" w:rsidR="009544DC" w:rsidRDefault="008449FD" w:rsidP="008449FD">
    <w:pPr>
      <w:pStyle w:val="En-tte"/>
      <w:jc w:val="right"/>
      <w:rPr>
        <w:rFonts w:ascii="Aptos" w:hAnsi="Aptos" w:cs="Calibri"/>
      </w:rPr>
    </w:pPr>
    <w:r w:rsidRPr="007D48D0">
      <w:rPr>
        <w:rFonts w:ascii="Aptos" w:hAnsi="Aptos" w:cs="Calibri"/>
      </w:rPr>
      <w:t>Actu SES</w:t>
    </w:r>
    <w:r>
      <w:rPr>
        <w:rFonts w:ascii="Aptos" w:hAnsi="Aptos" w:cs="Calibri"/>
      </w:rPr>
      <w:t xml:space="preserve">, </w:t>
    </w:r>
    <w:r w:rsidRPr="007D48D0">
      <w:rPr>
        <w:rFonts w:ascii="Aptos" w:hAnsi="Aptos" w:cs="Calibri"/>
      </w:rPr>
      <w:t xml:space="preserve">© </w:t>
    </w:r>
    <w:r>
      <w:rPr>
        <w:rFonts w:ascii="Aptos" w:hAnsi="Aptos" w:cs="Calibri"/>
      </w:rPr>
      <w:t xml:space="preserve">Les Éditions </w:t>
    </w:r>
    <w:r w:rsidRPr="007D48D0">
      <w:rPr>
        <w:rFonts w:ascii="Aptos" w:hAnsi="Aptos" w:cs="Calibri"/>
      </w:rPr>
      <w:t>Hatier – Nicolas Olivier</w:t>
    </w:r>
  </w:p>
  <w:p w14:paraId="25F4155F" w14:textId="77777777" w:rsidR="008449FD" w:rsidRPr="008449FD" w:rsidRDefault="008449FD" w:rsidP="008449FD">
    <w:pPr>
      <w:pStyle w:val="En-tte"/>
      <w:jc w:val="right"/>
      <w:rPr>
        <w:rFonts w:ascii="Aptos" w:hAnsi="Aptos" w:cs="Calibr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21C8D"/>
    <w:multiLevelType w:val="hybridMultilevel"/>
    <w:tmpl w:val="1C323404"/>
    <w:styleLink w:val="Nombres"/>
    <w:lvl w:ilvl="0" w:tplc="D37A8CFA">
      <w:start w:val="1"/>
      <w:numFmt w:val="decimal"/>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DE90E2F8">
      <w:start w:val="1"/>
      <w:numFmt w:val="decimal"/>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FAB4542A">
      <w:start w:val="1"/>
      <w:numFmt w:val="decimal"/>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33E2B4D4">
      <w:start w:val="1"/>
      <w:numFmt w:val="decimal"/>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D0FA960C">
      <w:start w:val="1"/>
      <w:numFmt w:val="decimal"/>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EFDC53AA">
      <w:start w:val="1"/>
      <w:numFmt w:val="decimal"/>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2660BCF0">
      <w:start w:val="1"/>
      <w:numFmt w:val="decimal"/>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EC424B12">
      <w:start w:val="1"/>
      <w:numFmt w:val="decimal"/>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7320EFD6">
      <w:start w:val="1"/>
      <w:numFmt w:val="decimal"/>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0A55E30"/>
    <w:multiLevelType w:val="hybridMultilevel"/>
    <w:tmpl w:val="1C323404"/>
    <w:numStyleLink w:val="Nombres"/>
  </w:abstractNum>
  <w:num w:numId="1" w16cid:durableId="692531688">
    <w:abstractNumId w:val="0"/>
  </w:num>
  <w:num w:numId="2" w16cid:durableId="536044970">
    <w:abstractNumId w:val="1"/>
  </w:num>
  <w:num w:numId="3" w16cid:durableId="1225720369">
    <w:abstractNumId w:val="1"/>
    <w:lvlOverride w:ilvl="0">
      <w:startOverride w:val="1"/>
      <w:lvl w:ilvl="0" w:tplc="E3688F98">
        <w:start w:val="1"/>
        <w:numFmt w:val="decimal"/>
        <w:lvlText w:val="%1."/>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608AA2E">
        <w:start w:val="1"/>
        <w:numFmt w:val="decimal"/>
        <w:lvlText w:val="%2."/>
        <w:lvlJc w:val="left"/>
        <w:pPr>
          <w:ind w:left="9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5AA4BFCA">
        <w:start w:val="1"/>
        <w:numFmt w:val="decimal"/>
        <w:lvlText w:val="%3."/>
        <w:lvlJc w:val="left"/>
        <w:pPr>
          <w:ind w:left="11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0E806A2">
        <w:start w:val="1"/>
        <w:numFmt w:val="decimal"/>
        <w:lvlText w:val="%4."/>
        <w:lvlJc w:val="left"/>
        <w:pPr>
          <w:ind w:left="13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2BEBAF0">
        <w:start w:val="1"/>
        <w:numFmt w:val="decimal"/>
        <w:lvlText w:val="%5."/>
        <w:lvlJc w:val="left"/>
        <w:pPr>
          <w:ind w:left="160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9A86D90">
        <w:start w:val="1"/>
        <w:numFmt w:val="decimal"/>
        <w:lvlText w:val="%6."/>
        <w:lvlJc w:val="left"/>
        <w:pPr>
          <w:ind w:left="18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0E4CB6C">
        <w:start w:val="1"/>
        <w:numFmt w:val="decimal"/>
        <w:lvlText w:val="%7."/>
        <w:lvlJc w:val="left"/>
        <w:pPr>
          <w:ind w:left="20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0C4821A">
        <w:start w:val="1"/>
        <w:numFmt w:val="decimal"/>
        <w:lvlText w:val="%8."/>
        <w:lvlJc w:val="left"/>
        <w:pPr>
          <w:ind w:left="22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222A82A">
        <w:start w:val="1"/>
        <w:numFmt w:val="decimal"/>
        <w:lvlText w:val="%9."/>
        <w:lvlJc w:val="left"/>
        <w:pPr>
          <w:ind w:left="24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4DC"/>
    <w:rsid w:val="0029706B"/>
    <w:rsid w:val="004C2407"/>
    <w:rsid w:val="005030BE"/>
    <w:rsid w:val="00575ED3"/>
    <w:rsid w:val="005D2BF0"/>
    <w:rsid w:val="005F2CB2"/>
    <w:rsid w:val="0069274D"/>
    <w:rsid w:val="008449FD"/>
    <w:rsid w:val="008F271D"/>
    <w:rsid w:val="009544DC"/>
    <w:rsid w:val="00A134EC"/>
    <w:rsid w:val="00AA7684"/>
    <w:rsid w:val="00AF7303"/>
    <w:rsid w:val="00B326ED"/>
    <w:rsid w:val="00C1206C"/>
    <w:rsid w:val="00C602BC"/>
    <w:rsid w:val="00D22A20"/>
    <w:rsid w:val="00E03248"/>
    <w:rsid w:val="00E227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FAB40"/>
  <w15:docId w15:val="{04CBAE68-17FB-6C46-BDE1-A48E993A2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Titre5">
    <w:name w:val="heading 5"/>
    <w:basedOn w:val="Normal"/>
    <w:next w:val="Normal"/>
    <w:link w:val="Titre5Car"/>
    <w:uiPriority w:val="9"/>
    <w:semiHidden/>
    <w:unhideWhenUsed/>
    <w:qFormat/>
    <w:rsid w:val="00E03248"/>
    <w:pPr>
      <w:keepNext/>
      <w:keepLines/>
      <w:spacing w:before="40"/>
      <w:outlineLvl w:val="4"/>
    </w:pPr>
    <w:rPr>
      <w:rFonts w:asciiTheme="majorHAnsi" w:eastAsiaTheme="majorEastAsia" w:hAnsiTheme="majorHAnsi" w:cstheme="majorBidi"/>
      <w:color w:val="0079BF"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Pardfaut">
    <w:name w:val="Par défaut"/>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Aucun">
    <w:name w:val="Aucun"/>
    <w:rPr>
      <w:lang w:val="fr-FR"/>
    </w:rPr>
  </w:style>
  <w:style w:type="character" w:customStyle="1" w:styleId="Hyperlink0">
    <w:name w:val="Hyperlink.0"/>
    <w:basedOn w:val="Lienhypertexte"/>
    <w:rPr>
      <w:u w:val="single"/>
    </w:rPr>
  </w:style>
  <w:style w:type="paragraph" w:customStyle="1" w:styleId="Corps">
    <w:name w:val="Corps"/>
    <w:rPr>
      <w:rFonts w:ascii="Helvetica Neue" w:eastAsia="Helvetica Neue" w:hAnsi="Helvetica Neue" w:cs="Helvetica Neue"/>
      <w:color w:val="000000"/>
      <w:sz w:val="22"/>
      <w:szCs w:val="22"/>
      <w14:textOutline w14:w="0" w14:cap="flat" w14:cmpd="sng" w14:algn="ctr">
        <w14:noFill/>
        <w14:prstDash w14:val="solid"/>
        <w14:bevel/>
      </w14:textOutline>
    </w:rPr>
  </w:style>
  <w:style w:type="numbering" w:customStyle="1" w:styleId="Nombres">
    <w:name w:val="Nombres"/>
    <w:pPr>
      <w:numPr>
        <w:numId w:val="1"/>
      </w:numPr>
    </w:pPr>
  </w:style>
  <w:style w:type="character" w:styleId="Mentionnonrsolue">
    <w:name w:val="Unresolved Mention"/>
    <w:basedOn w:val="Policepardfaut"/>
    <w:uiPriority w:val="99"/>
    <w:semiHidden/>
    <w:unhideWhenUsed/>
    <w:rsid w:val="0029706B"/>
    <w:rPr>
      <w:color w:val="605E5C"/>
      <w:shd w:val="clear" w:color="auto" w:fill="E1DFDD"/>
    </w:rPr>
  </w:style>
  <w:style w:type="character" w:customStyle="1" w:styleId="Titre5Car">
    <w:name w:val="Titre 5 Car"/>
    <w:basedOn w:val="Policepardfaut"/>
    <w:link w:val="Titre5"/>
    <w:uiPriority w:val="9"/>
    <w:semiHidden/>
    <w:rsid w:val="00E03248"/>
    <w:rPr>
      <w:rFonts w:asciiTheme="majorHAnsi" w:eastAsiaTheme="majorEastAsia" w:hAnsiTheme="majorHAnsi" w:cstheme="majorBidi"/>
      <w:color w:val="0079BF" w:themeColor="accent1" w:themeShade="BF"/>
      <w:sz w:val="24"/>
      <w:szCs w:val="24"/>
      <w:lang w:val="en-US" w:eastAsia="en-US"/>
    </w:rPr>
  </w:style>
  <w:style w:type="paragraph" w:styleId="En-tte">
    <w:name w:val="header"/>
    <w:basedOn w:val="Normal"/>
    <w:link w:val="En-tteCar"/>
    <w:uiPriority w:val="99"/>
    <w:unhideWhenUsed/>
    <w:rsid w:val="008449FD"/>
    <w:pPr>
      <w:tabs>
        <w:tab w:val="center" w:pos="4536"/>
        <w:tab w:val="right" w:pos="9072"/>
      </w:tabs>
    </w:pPr>
  </w:style>
  <w:style w:type="character" w:customStyle="1" w:styleId="En-tteCar">
    <w:name w:val="En-tête Car"/>
    <w:basedOn w:val="Policepardfaut"/>
    <w:link w:val="En-tte"/>
    <w:uiPriority w:val="99"/>
    <w:rsid w:val="008449FD"/>
    <w:rPr>
      <w:sz w:val="24"/>
      <w:szCs w:val="24"/>
      <w:lang w:val="en-US" w:eastAsia="en-US"/>
    </w:rPr>
  </w:style>
  <w:style w:type="paragraph" w:styleId="Pieddepage">
    <w:name w:val="footer"/>
    <w:basedOn w:val="Normal"/>
    <w:link w:val="PieddepageCar"/>
    <w:uiPriority w:val="99"/>
    <w:unhideWhenUsed/>
    <w:rsid w:val="008449FD"/>
    <w:pPr>
      <w:tabs>
        <w:tab w:val="center" w:pos="4536"/>
        <w:tab w:val="right" w:pos="9072"/>
      </w:tabs>
    </w:pPr>
  </w:style>
  <w:style w:type="character" w:customStyle="1" w:styleId="PieddepageCar">
    <w:name w:val="Pied de page Car"/>
    <w:basedOn w:val="Policepardfaut"/>
    <w:link w:val="Pieddepage"/>
    <w:uiPriority w:val="99"/>
    <w:rsid w:val="008449F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adiofrance.fr/franceculture/podcasts/le-journal-de-l-eco/peut-on-vraiment-comparer-la-dette-de-l-etat-a-la-dette-d-une-famille-663873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2</Pages>
  <Words>501</Words>
  <Characters>2756</Characters>
  <Application>Microsoft Office Word</Application>
  <DocSecurity>0</DocSecurity>
  <Lines>22</Lines>
  <Paragraphs>6</Paragraphs>
  <ScaleCrop>false</ScaleCrop>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HUTTEPAIN SOPHIE</cp:lastModifiedBy>
  <cp:revision>15</cp:revision>
  <dcterms:created xsi:type="dcterms:W3CDTF">2025-11-17T15:25:00Z</dcterms:created>
  <dcterms:modified xsi:type="dcterms:W3CDTF">2026-09-02T12:18:00Z</dcterms:modified>
</cp:coreProperties>
</file>