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D5ACD" w14:textId="77777777" w:rsidR="00C14820" w:rsidRPr="00CF595A" w:rsidRDefault="000E60CA" w:rsidP="00CF595A">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Aptos" w:eastAsia="Calibri" w:hAnsi="Aptos" w:cs="Calibri"/>
          <w:sz w:val="28"/>
          <w:szCs w:val="28"/>
          <w:u w:color="000000"/>
        </w:rPr>
      </w:pPr>
      <w:r w:rsidRPr="00CF595A">
        <w:rPr>
          <w:rStyle w:val="Aucun"/>
          <w:rFonts w:ascii="Aptos" w:hAnsi="Aptos"/>
          <w:b/>
          <w:bCs/>
          <w:color w:val="262626"/>
          <w:kern w:val="36"/>
          <w:sz w:val="28"/>
          <w:szCs w:val="28"/>
          <w:u w:color="262626"/>
        </w:rPr>
        <w:t>La Bulgarie adopte l'euro : risques et avantages pour la zone euro</w:t>
      </w:r>
    </w:p>
    <w:p w14:paraId="3A0D5ACE" w14:textId="77777777" w:rsidR="00C14820" w:rsidRPr="00CF595A" w:rsidRDefault="00C14820" w:rsidP="00CF595A">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ptos" w:eastAsia="Calibri" w:hAnsi="Aptos" w:cs="Calibri"/>
          <w:sz w:val="24"/>
          <w:szCs w:val="24"/>
          <w:u w:color="000000"/>
        </w:rPr>
      </w:pPr>
    </w:p>
    <w:p w14:paraId="4BFB2EB9" w14:textId="77777777" w:rsidR="00CF595A" w:rsidRPr="00CF595A" w:rsidRDefault="00CF595A" w:rsidP="00CF595A">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ptos" w:eastAsia="Times New Roman" w:hAnsi="Aptos" w:cs="Times New Roman"/>
          <w:i/>
          <w:iCs/>
          <w:sz w:val="24"/>
          <w:szCs w:val="24"/>
          <w:u w:color="000000"/>
        </w:rPr>
      </w:pPr>
    </w:p>
    <w:p w14:paraId="7E3C5960" w14:textId="44878CC5" w:rsidR="00CF595A" w:rsidRPr="00CF595A" w:rsidRDefault="00CF595A" w:rsidP="00CF595A">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ptos" w:eastAsia="Times New Roman" w:hAnsi="Aptos" w:cs="Times New Roman"/>
          <w:i/>
          <w:iCs/>
          <w:sz w:val="24"/>
          <w:szCs w:val="24"/>
          <w:u w:color="000000"/>
        </w:rPr>
      </w:pPr>
      <w:r w:rsidRPr="00CF595A">
        <w:rPr>
          <w:rStyle w:val="Aucun"/>
          <w:rFonts w:ascii="Aptos" w:hAnsi="Aptos"/>
          <w:sz w:val="24"/>
          <w:szCs w:val="24"/>
          <w:u w:color="000000"/>
        </w:rPr>
        <w:t xml:space="preserve">Marie Viennot, </w:t>
      </w:r>
      <w:r w:rsidR="00F631BD" w:rsidRPr="004C2407">
        <w:rPr>
          <w:rFonts w:ascii="Aptos" w:hAnsi="Aptos"/>
          <w:sz w:val="24"/>
          <w:szCs w:val="24"/>
          <w:u w:color="000000"/>
        </w:rPr>
        <w:t>Podcast « Le journal de l'éco », France Culture</w:t>
      </w:r>
      <w:r w:rsidRPr="00CF595A">
        <w:rPr>
          <w:rStyle w:val="Aucun"/>
          <w:rFonts w:ascii="Aptos" w:hAnsi="Aptos"/>
          <w:sz w:val="24"/>
          <w:szCs w:val="24"/>
          <w:u w:color="000000"/>
        </w:rPr>
        <w:t xml:space="preserve">, </w:t>
      </w:r>
      <w:r>
        <w:rPr>
          <w:rStyle w:val="Aucun"/>
          <w:rFonts w:ascii="Aptos" w:hAnsi="Aptos"/>
          <w:sz w:val="24"/>
          <w:szCs w:val="24"/>
          <w:u w:color="000000"/>
        </w:rPr>
        <w:t>1</w:t>
      </w:r>
      <w:r w:rsidRPr="00CF595A">
        <w:rPr>
          <w:rStyle w:val="Aucun"/>
          <w:rFonts w:ascii="Aptos" w:hAnsi="Aptos"/>
          <w:sz w:val="24"/>
          <w:szCs w:val="24"/>
          <w:u w:color="000000"/>
          <w:vertAlign w:val="superscript"/>
        </w:rPr>
        <w:t>er</w:t>
      </w:r>
      <w:r>
        <w:rPr>
          <w:rStyle w:val="Aucun"/>
          <w:rFonts w:ascii="Aptos" w:hAnsi="Aptos"/>
          <w:sz w:val="24"/>
          <w:szCs w:val="24"/>
          <w:u w:color="000000"/>
        </w:rPr>
        <w:t xml:space="preserve"> janvier </w:t>
      </w:r>
      <w:r w:rsidRPr="00CF595A">
        <w:rPr>
          <w:rStyle w:val="Aucun"/>
          <w:rFonts w:ascii="Aptos" w:hAnsi="Aptos"/>
          <w:sz w:val="24"/>
          <w:szCs w:val="24"/>
          <w:u w:color="000000"/>
        </w:rPr>
        <w:t>2026</w:t>
      </w:r>
      <w:r>
        <w:rPr>
          <w:rStyle w:val="Aucun"/>
          <w:rFonts w:ascii="Aptos" w:hAnsi="Aptos"/>
          <w:sz w:val="24"/>
          <w:szCs w:val="24"/>
          <w:u w:color="000000"/>
        </w:rPr>
        <w:t>.</w:t>
      </w:r>
    </w:p>
    <w:p w14:paraId="3A0D5ACF" w14:textId="77777777" w:rsidR="00C14820" w:rsidRPr="00CF595A" w:rsidRDefault="000E60CA" w:rsidP="00CF595A">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ptos" w:eastAsia="Times New Roman" w:hAnsi="Aptos" w:cs="Times New Roman"/>
          <w:sz w:val="24"/>
          <w:szCs w:val="24"/>
          <w:u w:color="000000"/>
        </w:rPr>
      </w:pPr>
      <w:hyperlink r:id="rId8" w:history="1">
        <w:r w:rsidRPr="00CF595A">
          <w:rPr>
            <w:rStyle w:val="Hyperlink0"/>
            <w:rFonts w:ascii="Aptos" w:hAnsi="Aptos"/>
            <w:sz w:val="24"/>
            <w:szCs w:val="24"/>
            <w:u w:color="000000"/>
          </w:rPr>
          <w:t>https://www.radiofrance.fr/franceculture/podcasts/le-journal-de-l-eco/la-bulgarie-adopte-l-euro-risques-et-avantages-pour-la-zone-euro-6320285</w:t>
        </w:r>
      </w:hyperlink>
      <w:r w:rsidRPr="00CF595A">
        <w:rPr>
          <w:rFonts w:ascii="Aptos" w:hAnsi="Aptos"/>
          <w:sz w:val="24"/>
          <w:szCs w:val="24"/>
          <w:u w:color="000000"/>
        </w:rPr>
        <w:t xml:space="preserve"> </w:t>
      </w:r>
    </w:p>
    <w:p w14:paraId="3A0D5AD2" w14:textId="77777777" w:rsidR="00C14820" w:rsidRPr="00CF595A" w:rsidRDefault="00C14820" w:rsidP="00CF595A">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Style w:val="Aucun"/>
          <w:rFonts w:ascii="Aptos" w:eastAsia="Times New Roman" w:hAnsi="Aptos" w:cs="Times New Roman"/>
          <w:sz w:val="24"/>
          <w:szCs w:val="24"/>
          <w:u w:color="000000"/>
        </w:rPr>
      </w:pPr>
    </w:p>
    <w:p w14:paraId="3A0D5AD3" w14:textId="77777777" w:rsidR="00C14820" w:rsidRPr="00CF595A" w:rsidRDefault="000E60CA" w:rsidP="00CF595A">
      <w:pPr>
        <w:pStyle w:val="Corps"/>
        <w:pBdr>
          <w:top w:val="single" w:sz="4" w:space="1" w:color="000000"/>
          <w:left w:val="single" w:sz="4" w:space="1" w:color="000000"/>
          <w:bottom w:val="single" w:sz="4" w:space="1" w:color="000000"/>
          <w:right w:val="single" w:sz="4" w:space="1" w:color="000000"/>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Style w:val="Aucun"/>
          <w:rFonts w:ascii="Aptos" w:eastAsia="Times New Roman" w:hAnsi="Aptos" w:cs="Times New Roman"/>
          <w:b/>
          <w:bCs/>
          <w:sz w:val="24"/>
          <w:szCs w:val="24"/>
          <w:u w:color="000000"/>
        </w:rPr>
      </w:pPr>
      <w:r w:rsidRPr="00CF595A">
        <w:rPr>
          <w:rStyle w:val="Aucun"/>
          <w:rFonts w:ascii="Aptos" w:hAnsi="Aptos"/>
          <w:b/>
          <w:bCs/>
          <w:sz w:val="24"/>
          <w:szCs w:val="24"/>
          <w:u w:color="000000"/>
        </w:rPr>
        <w:t>Exploitation pédagogique</w:t>
      </w:r>
    </w:p>
    <w:p w14:paraId="3A0D5AD4" w14:textId="77777777" w:rsidR="00C14820" w:rsidRPr="00CF595A" w:rsidRDefault="00C14820" w:rsidP="00CF595A">
      <w:pPr>
        <w:pStyle w:val="Pardfau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Aptos" w:eastAsia="Times New Roman" w:hAnsi="Aptos" w:cs="Times New Roman"/>
          <w:sz w:val="10"/>
          <w:szCs w:val="10"/>
          <w:u w:color="000000"/>
        </w:rPr>
      </w:pPr>
    </w:p>
    <w:p w14:paraId="3A0D5AD5" w14:textId="0635A9FF" w:rsidR="00C14820" w:rsidRPr="00CF595A" w:rsidRDefault="00CF595A" w:rsidP="00CF595A">
      <w:pPr>
        <w:pStyle w:val="Pardfaut"/>
        <w:spacing w:before="0"/>
        <w:jc w:val="both"/>
        <w:rPr>
          <w:rFonts w:ascii="Aptos" w:hAnsi="Aptos"/>
          <w:u w:color="000000"/>
        </w:rPr>
      </w:pPr>
      <w:r>
        <w:rPr>
          <w:rFonts w:ascii="Aptos" w:hAnsi="Aptos"/>
          <w:u w:color="000000"/>
        </w:rPr>
        <w:t xml:space="preserve">1. </w:t>
      </w:r>
      <w:r w:rsidR="000E60CA" w:rsidRPr="00CF595A">
        <w:rPr>
          <w:rFonts w:ascii="Aptos" w:hAnsi="Aptos"/>
          <w:u w:color="000000"/>
        </w:rPr>
        <w:t>Quel événement économique majeur a eu lieu le 1</w:t>
      </w:r>
      <w:r w:rsidR="000E60CA" w:rsidRPr="00CF595A">
        <w:rPr>
          <w:rFonts w:ascii="Aptos" w:hAnsi="Aptos"/>
          <w:u w:color="000000"/>
          <w:vertAlign w:val="superscript"/>
        </w:rPr>
        <w:t>er</w:t>
      </w:r>
      <w:r w:rsidR="000E60CA" w:rsidRPr="00CF595A">
        <w:rPr>
          <w:rFonts w:ascii="Aptos" w:hAnsi="Aptos"/>
          <w:u w:color="000000"/>
        </w:rPr>
        <w:t xml:space="preserve"> janvier 2026 en Bulgarie ?</w:t>
      </w:r>
    </w:p>
    <w:p w14:paraId="3A0D5AD6" w14:textId="06256143" w:rsidR="00C14820" w:rsidRPr="00CF595A" w:rsidRDefault="00CF595A" w:rsidP="00CF595A">
      <w:pPr>
        <w:pStyle w:val="Pardfaut"/>
        <w:spacing w:before="0"/>
        <w:jc w:val="both"/>
        <w:rPr>
          <w:rFonts w:ascii="Aptos" w:hAnsi="Aptos"/>
          <w:u w:color="000000"/>
        </w:rPr>
      </w:pPr>
      <w:r>
        <w:rPr>
          <w:rFonts w:ascii="Aptos" w:hAnsi="Aptos"/>
          <w:u w:color="000000"/>
        </w:rPr>
        <w:t xml:space="preserve">2. </w:t>
      </w:r>
      <w:r w:rsidR="000E60CA" w:rsidRPr="00CF595A">
        <w:rPr>
          <w:rFonts w:ascii="Aptos" w:hAnsi="Aptos"/>
          <w:u w:color="000000"/>
        </w:rPr>
        <w:t>Quels critères la Bulgarie a-t-elle dû respecter pour entrer dans la zone euro ?</w:t>
      </w:r>
    </w:p>
    <w:p w14:paraId="3A0D5AD7" w14:textId="5736F438" w:rsidR="00C14820" w:rsidRPr="00CF595A" w:rsidRDefault="00CF595A" w:rsidP="00CF595A">
      <w:pPr>
        <w:pStyle w:val="Pardfaut"/>
        <w:spacing w:before="0"/>
        <w:jc w:val="both"/>
        <w:rPr>
          <w:rFonts w:ascii="Aptos" w:hAnsi="Aptos"/>
          <w:u w:color="000000"/>
        </w:rPr>
      </w:pPr>
      <w:r>
        <w:rPr>
          <w:rFonts w:ascii="Aptos" w:hAnsi="Aptos"/>
          <w:u w:color="000000"/>
        </w:rPr>
        <w:t xml:space="preserve">3. </w:t>
      </w:r>
      <w:r w:rsidR="000E60CA" w:rsidRPr="00CF595A">
        <w:rPr>
          <w:rFonts w:ascii="Aptos" w:hAnsi="Aptos"/>
          <w:u w:color="000000"/>
        </w:rPr>
        <w:t>Quels sont les avantages liés à une adhésion à la zone euro</w:t>
      </w:r>
      <w:r>
        <w:rPr>
          <w:rFonts w:ascii="Aptos" w:hAnsi="Aptos"/>
          <w:u w:color="000000"/>
        </w:rPr>
        <w:t> </w:t>
      </w:r>
      <w:r w:rsidR="000E60CA" w:rsidRPr="00CF595A">
        <w:rPr>
          <w:rFonts w:ascii="Aptos" w:hAnsi="Aptos"/>
          <w:u w:color="000000"/>
        </w:rPr>
        <w:t>?</w:t>
      </w:r>
    </w:p>
    <w:p w14:paraId="3A0D5AD8" w14:textId="1F7F9F01" w:rsidR="00C14820" w:rsidRPr="00CF595A" w:rsidRDefault="00CF595A" w:rsidP="00CF595A">
      <w:pPr>
        <w:pStyle w:val="Pardfaut"/>
        <w:spacing w:before="0"/>
        <w:jc w:val="both"/>
        <w:rPr>
          <w:rFonts w:ascii="Aptos" w:hAnsi="Aptos"/>
          <w:u w:color="000000"/>
        </w:rPr>
      </w:pPr>
      <w:r>
        <w:rPr>
          <w:rFonts w:ascii="Aptos" w:hAnsi="Aptos"/>
          <w:u w:color="000000"/>
        </w:rPr>
        <w:t xml:space="preserve">4. </w:t>
      </w:r>
      <w:r w:rsidR="000E60CA" w:rsidRPr="00CF595A">
        <w:rPr>
          <w:rFonts w:ascii="Aptos" w:hAnsi="Aptos"/>
          <w:u w:color="000000"/>
        </w:rPr>
        <w:t>Quels risques cette intégration comporte-t-elle pour la zone euro ?</w:t>
      </w:r>
    </w:p>
    <w:p w14:paraId="3A0D5AD9" w14:textId="41B35E6B" w:rsidR="00C14820" w:rsidRPr="00CF595A" w:rsidRDefault="00CF595A" w:rsidP="00CF595A">
      <w:pPr>
        <w:pStyle w:val="Pardfaut"/>
        <w:spacing w:before="0"/>
        <w:jc w:val="both"/>
        <w:rPr>
          <w:rFonts w:ascii="Aptos" w:hAnsi="Aptos"/>
          <w:u w:color="000000"/>
        </w:rPr>
      </w:pPr>
      <w:r>
        <w:rPr>
          <w:rFonts w:ascii="Aptos" w:hAnsi="Aptos"/>
          <w:u w:color="000000"/>
        </w:rPr>
        <w:t xml:space="preserve">5. </w:t>
      </w:r>
      <w:r w:rsidR="000E60CA" w:rsidRPr="00CF595A">
        <w:rPr>
          <w:rFonts w:ascii="Aptos" w:hAnsi="Aptos"/>
          <w:u w:color="000000"/>
        </w:rPr>
        <w:t>Comment fonctionne la gouvernance de la zone euro et quel rôle la Bulgarie pourra-t-elle y jouer ?</w:t>
      </w:r>
    </w:p>
    <w:p w14:paraId="3A0D5ADA" w14:textId="2C333C04" w:rsidR="00C14820" w:rsidRPr="00CF595A" w:rsidRDefault="00CF595A" w:rsidP="00CF595A">
      <w:pPr>
        <w:pStyle w:val="Pardfaut"/>
        <w:spacing w:before="0"/>
        <w:jc w:val="both"/>
        <w:rPr>
          <w:rFonts w:ascii="Aptos" w:hAnsi="Aptos"/>
          <w:u w:color="000000"/>
        </w:rPr>
      </w:pPr>
      <w:r>
        <w:rPr>
          <w:rFonts w:ascii="Aptos" w:hAnsi="Aptos"/>
          <w:u w:color="000000"/>
        </w:rPr>
        <w:t xml:space="preserve">6. </w:t>
      </w:r>
      <w:r w:rsidR="000E60CA" w:rsidRPr="00CF595A">
        <w:rPr>
          <w:rFonts w:ascii="Aptos" w:hAnsi="Aptos"/>
          <w:u w:color="000000"/>
        </w:rPr>
        <w:t>Tous les pays de l’UE sont-ils obligés de rejoindre l’euro ? Pourquoi certains tardent-ils ?</w:t>
      </w:r>
    </w:p>
    <w:p w14:paraId="3A0D5ADB" w14:textId="77777777" w:rsidR="00C14820" w:rsidRPr="00CF595A" w:rsidRDefault="00C14820" w:rsidP="00CF595A">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Style w:val="Aucun"/>
          <w:rFonts w:ascii="Aptos" w:eastAsia="Times New Roman" w:hAnsi="Aptos" w:cs="Times New Roman"/>
          <w:sz w:val="24"/>
          <w:szCs w:val="24"/>
          <w:u w:color="000000"/>
        </w:rPr>
      </w:pPr>
    </w:p>
    <w:p w14:paraId="3A0D5ADC" w14:textId="4814AABE" w:rsidR="00C14820" w:rsidRPr="00CF595A" w:rsidRDefault="000E60CA" w:rsidP="00CF595A">
      <w:pPr>
        <w:pStyle w:val="Corps"/>
        <w:pBdr>
          <w:top w:val="single" w:sz="4" w:space="1" w:color="000000"/>
          <w:left w:val="single" w:sz="4" w:space="1" w:color="000000"/>
          <w:bottom w:val="single" w:sz="4" w:space="1" w:color="000000"/>
          <w:right w:val="single" w:sz="4" w:space="1" w:color="000000"/>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Style w:val="Aucun"/>
          <w:rFonts w:ascii="Aptos" w:eastAsia="Times New Roman" w:hAnsi="Aptos" w:cs="Times New Roman"/>
          <w:b/>
          <w:bCs/>
          <w:sz w:val="24"/>
          <w:szCs w:val="24"/>
          <w:u w:color="000000"/>
        </w:rPr>
      </w:pPr>
      <w:r w:rsidRPr="00CF595A">
        <w:rPr>
          <w:rStyle w:val="Aucun"/>
          <w:rFonts w:ascii="Aptos" w:hAnsi="Aptos"/>
          <w:b/>
          <w:bCs/>
          <w:sz w:val="24"/>
          <w:szCs w:val="24"/>
          <w:u w:color="000000"/>
          <w:lang w:val="en-US"/>
        </w:rPr>
        <w:t>Corr</w:t>
      </w:r>
      <w:r w:rsidR="00CF595A">
        <w:rPr>
          <w:rStyle w:val="Aucun"/>
          <w:rFonts w:ascii="Aptos" w:hAnsi="Aptos"/>
          <w:b/>
          <w:bCs/>
          <w:sz w:val="24"/>
          <w:szCs w:val="24"/>
          <w:u w:color="000000"/>
          <w:lang w:val="en-US"/>
        </w:rPr>
        <w:t>igé</w:t>
      </w:r>
    </w:p>
    <w:p w14:paraId="3A0D5ADD" w14:textId="77777777" w:rsidR="00C14820" w:rsidRPr="00CF595A" w:rsidRDefault="00C14820" w:rsidP="00CF595A">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Style w:val="Aucun"/>
          <w:rFonts w:ascii="Aptos" w:eastAsia="Times New Roman" w:hAnsi="Aptos" w:cs="Times New Roman"/>
          <w:sz w:val="10"/>
          <w:szCs w:val="10"/>
          <w:u w:color="000000"/>
        </w:rPr>
      </w:pPr>
    </w:p>
    <w:p w14:paraId="3A0D5ADE" w14:textId="350CFD0B" w:rsidR="00C14820" w:rsidRPr="00CF595A" w:rsidRDefault="00CF595A" w:rsidP="00CF595A">
      <w:pPr>
        <w:pStyle w:val="Pardfaut"/>
        <w:spacing w:before="0"/>
        <w:jc w:val="both"/>
        <w:rPr>
          <w:rFonts w:ascii="Aptos" w:hAnsi="Aptos"/>
          <w:u w:color="000000"/>
        </w:rPr>
      </w:pPr>
      <w:r>
        <w:rPr>
          <w:rStyle w:val="Aucun"/>
          <w:rFonts w:ascii="Aptos" w:hAnsi="Aptos"/>
          <w:u w:color="000000"/>
        </w:rPr>
        <w:t xml:space="preserve">1. </w:t>
      </w:r>
      <w:r w:rsidR="000E60CA" w:rsidRPr="00CF595A">
        <w:rPr>
          <w:rStyle w:val="Aucun"/>
          <w:rFonts w:ascii="Aptos" w:hAnsi="Aptos"/>
          <w:u w:color="000000"/>
        </w:rPr>
        <w:t>Le 1</w:t>
      </w:r>
      <w:r w:rsidR="000E60CA" w:rsidRPr="00CF595A">
        <w:rPr>
          <w:rStyle w:val="Aucun"/>
          <w:rFonts w:ascii="Aptos" w:hAnsi="Aptos"/>
          <w:u w:color="000000"/>
          <w:vertAlign w:val="superscript"/>
        </w:rPr>
        <w:t>er</w:t>
      </w:r>
      <w:r w:rsidR="000E60CA" w:rsidRPr="00CF595A">
        <w:rPr>
          <w:rStyle w:val="Aucun"/>
          <w:rFonts w:ascii="Aptos" w:hAnsi="Aptos"/>
          <w:u w:color="000000"/>
        </w:rPr>
        <w:t xml:space="preserve"> janvier 2026, la Bulgarie a adopté l’euro comme monnaie officielle (à la place du lev), devenant </w:t>
      </w:r>
      <w:r w:rsidR="00D14919">
        <w:rPr>
          <w:rStyle w:val="Aucun"/>
          <w:rFonts w:ascii="Aptos" w:hAnsi="Aptos"/>
          <w:u w:color="000000"/>
        </w:rPr>
        <w:t xml:space="preserve">ainsi </w:t>
      </w:r>
      <w:r w:rsidR="000E60CA" w:rsidRPr="00CF595A">
        <w:rPr>
          <w:rStyle w:val="Aucun"/>
          <w:rFonts w:ascii="Aptos" w:hAnsi="Aptos"/>
          <w:u w:color="000000"/>
        </w:rPr>
        <w:t>le 21</w:t>
      </w:r>
      <w:r w:rsidR="000E60CA" w:rsidRPr="00D14919">
        <w:rPr>
          <w:rStyle w:val="Aucun"/>
          <w:rFonts w:ascii="Aptos" w:hAnsi="Aptos"/>
          <w:u w:color="000000"/>
          <w:vertAlign w:val="superscript"/>
        </w:rPr>
        <w:t>e</w:t>
      </w:r>
      <w:r w:rsidR="000E60CA" w:rsidRPr="00CF595A">
        <w:rPr>
          <w:rStyle w:val="Aucun"/>
          <w:rFonts w:ascii="Aptos" w:hAnsi="Aptos"/>
          <w:u w:color="000000"/>
        </w:rPr>
        <w:t xml:space="preserve"> pays membre de la zone euro (sur les 27 pays que compte l’Union européenne). Pendant un mois, les deux monnaies coexisteront, avec un taux de conversion fixé à 1 euro = 1,96 lev. Cet évènement marque l'aboutissement d'un processus de convergence amorcé depuis plusieurs années.</w:t>
      </w:r>
    </w:p>
    <w:p w14:paraId="4D2ABF05" w14:textId="77777777" w:rsidR="00CF595A" w:rsidRDefault="00CF595A" w:rsidP="00CF595A">
      <w:pPr>
        <w:pStyle w:val="Pardfaut"/>
        <w:spacing w:before="0"/>
        <w:jc w:val="both"/>
        <w:rPr>
          <w:rStyle w:val="Aucun"/>
          <w:rFonts w:ascii="Aptos" w:hAnsi="Aptos"/>
          <w:u w:color="000000"/>
        </w:rPr>
      </w:pPr>
    </w:p>
    <w:p w14:paraId="3A0D5ADF" w14:textId="216A8AC8" w:rsidR="00C14820" w:rsidRPr="00CF595A" w:rsidRDefault="00CF595A" w:rsidP="00CF595A">
      <w:pPr>
        <w:pStyle w:val="Pardfaut"/>
        <w:spacing w:before="0"/>
        <w:jc w:val="both"/>
        <w:rPr>
          <w:rFonts w:ascii="Aptos" w:hAnsi="Aptos"/>
          <w:u w:color="000000"/>
        </w:rPr>
      </w:pPr>
      <w:r>
        <w:rPr>
          <w:rStyle w:val="Aucun"/>
          <w:rFonts w:ascii="Aptos" w:hAnsi="Aptos"/>
          <w:u w:color="000000"/>
        </w:rPr>
        <w:t xml:space="preserve">2. </w:t>
      </w:r>
      <w:r w:rsidR="000E60CA" w:rsidRPr="00CF595A">
        <w:rPr>
          <w:rStyle w:val="Aucun"/>
          <w:rFonts w:ascii="Aptos" w:hAnsi="Aptos"/>
          <w:u w:color="000000"/>
        </w:rPr>
        <w:t xml:space="preserve">Pour rentrer dans </w:t>
      </w:r>
      <w:r w:rsidR="00F23E5D">
        <w:rPr>
          <w:rStyle w:val="Aucun"/>
          <w:rFonts w:ascii="Aptos" w:hAnsi="Aptos"/>
          <w:u w:color="000000"/>
        </w:rPr>
        <w:t>la zone euro</w:t>
      </w:r>
      <w:r w:rsidR="000E60CA" w:rsidRPr="00CF595A">
        <w:rPr>
          <w:rStyle w:val="Aucun"/>
          <w:rFonts w:ascii="Aptos" w:hAnsi="Aptos"/>
          <w:u w:color="000000"/>
        </w:rPr>
        <w:t>, la Bulgarie a dû satisfaire aux fameux « critères de convergence » fixés par l’Union européenne. Avec un faible niveau de déficit public (2,2 %) et une dette publique inférieure à 20 % du PIB, elle a finalement pu prétendre intégrer la zone euro. Ces critères de convergence visent à garantir la stabilité macroéconomique des pays membres de la zone.</w:t>
      </w:r>
    </w:p>
    <w:p w14:paraId="1D3C89BA" w14:textId="77777777" w:rsidR="00CF595A" w:rsidRDefault="00CF595A" w:rsidP="00CF595A">
      <w:pPr>
        <w:pStyle w:val="Pardfaut"/>
        <w:spacing w:before="0"/>
        <w:jc w:val="both"/>
        <w:rPr>
          <w:rStyle w:val="Aucun"/>
          <w:rFonts w:ascii="Aptos" w:hAnsi="Aptos"/>
          <w:u w:color="000000"/>
        </w:rPr>
      </w:pPr>
    </w:p>
    <w:p w14:paraId="3A0D5AE0" w14:textId="595C3B42" w:rsidR="00C14820" w:rsidRPr="00CF595A" w:rsidRDefault="00CF595A" w:rsidP="00CF595A">
      <w:pPr>
        <w:pStyle w:val="Pardfaut"/>
        <w:spacing w:before="0"/>
        <w:jc w:val="both"/>
        <w:rPr>
          <w:rFonts w:ascii="Aptos" w:hAnsi="Aptos"/>
          <w:u w:color="000000"/>
        </w:rPr>
      </w:pPr>
      <w:r>
        <w:rPr>
          <w:rStyle w:val="Aucun"/>
          <w:rFonts w:ascii="Aptos" w:hAnsi="Aptos"/>
          <w:u w:color="000000"/>
        </w:rPr>
        <w:t xml:space="preserve">3. </w:t>
      </w:r>
      <w:r w:rsidR="000E60CA" w:rsidRPr="00CF595A">
        <w:rPr>
          <w:rStyle w:val="Aucun"/>
          <w:rFonts w:ascii="Aptos" w:hAnsi="Aptos"/>
          <w:u w:color="000000"/>
        </w:rPr>
        <w:t>L’adhésion à la zone euro peut être tout d’abord perçue comme un signe de stabilité économique. Cette adhésion renforce par ailleurs l’ancrage du pays dans l’Union. Enfin, l’utilisation de l’euro facilite les échanges commerciaux avec les autres pays membres de la zone et facilite les investissements dans le pays, ce qui est potentiellement source de croissance économique.</w:t>
      </w:r>
    </w:p>
    <w:p w14:paraId="5EBA2E75" w14:textId="77777777" w:rsidR="00CF595A" w:rsidRDefault="00CF595A" w:rsidP="00CF595A">
      <w:pPr>
        <w:pStyle w:val="Pardfaut"/>
        <w:spacing w:before="0"/>
        <w:jc w:val="both"/>
        <w:rPr>
          <w:rStyle w:val="Aucun"/>
          <w:rFonts w:ascii="Aptos" w:hAnsi="Aptos"/>
          <w:u w:color="000000"/>
        </w:rPr>
      </w:pPr>
    </w:p>
    <w:p w14:paraId="3A0D5AE1" w14:textId="50164C0F" w:rsidR="00C14820" w:rsidRPr="00CF595A" w:rsidRDefault="00CF595A" w:rsidP="00CF595A">
      <w:pPr>
        <w:pStyle w:val="Pardfaut"/>
        <w:spacing w:before="0"/>
        <w:jc w:val="both"/>
        <w:rPr>
          <w:rFonts w:ascii="Aptos" w:hAnsi="Aptos"/>
          <w:u w:color="000000"/>
        </w:rPr>
      </w:pPr>
      <w:r>
        <w:rPr>
          <w:rStyle w:val="Aucun"/>
          <w:rFonts w:ascii="Aptos" w:hAnsi="Aptos"/>
          <w:u w:color="000000"/>
        </w:rPr>
        <w:t xml:space="preserve">4. </w:t>
      </w:r>
      <w:r w:rsidR="000E60CA" w:rsidRPr="00CF595A">
        <w:rPr>
          <w:rStyle w:val="Aucun"/>
          <w:rFonts w:ascii="Aptos" w:hAnsi="Aptos"/>
          <w:u w:color="000000"/>
        </w:rPr>
        <w:t>Les principaux risques évoqués sont liés à la corruption, répandue en Bulgarie, et au non-respect potentiel de l’État de droit. Ces faiblesses pourraient notamment favoriser des flux financiers illégaux (comme le financement du terrorisme) ou du blanchiment d’argent. Toutefois, la BCE pourra désormais renforcer sa surveillance des banques bulgares. L’adhésion implique en outre un alignement sur les règles européennes en matière de lutte contre ces pratiques frauduleuses.</w:t>
      </w:r>
    </w:p>
    <w:p w14:paraId="1E8031E2" w14:textId="77777777" w:rsidR="00CF595A" w:rsidRDefault="00CF595A" w:rsidP="00CF595A">
      <w:pPr>
        <w:pStyle w:val="Pardfaut"/>
        <w:spacing w:before="0"/>
        <w:jc w:val="both"/>
        <w:rPr>
          <w:rStyle w:val="Aucun"/>
          <w:rFonts w:ascii="Aptos" w:hAnsi="Aptos"/>
          <w:u w:color="000000"/>
        </w:rPr>
      </w:pPr>
    </w:p>
    <w:p w14:paraId="3A0D5AE2" w14:textId="441303AA" w:rsidR="00C14820" w:rsidRPr="00CF595A" w:rsidRDefault="00CF595A" w:rsidP="00CF595A">
      <w:pPr>
        <w:pStyle w:val="Pardfaut"/>
        <w:spacing w:before="0"/>
        <w:jc w:val="both"/>
        <w:rPr>
          <w:rFonts w:ascii="Aptos" w:hAnsi="Aptos"/>
          <w:u w:color="000000"/>
        </w:rPr>
      </w:pPr>
      <w:r>
        <w:rPr>
          <w:rStyle w:val="Aucun"/>
          <w:rFonts w:ascii="Aptos" w:hAnsi="Aptos"/>
          <w:u w:color="000000"/>
        </w:rPr>
        <w:t xml:space="preserve">5. </w:t>
      </w:r>
      <w:r w:rsidR="000E60CA" w:rsidRPr="00CF595A">
        <w:rPr>
          <w:rStyle w:val="Aucun"/>
          <w:rFonts w:ascii="Aptos" w:hAnsi="Aptos"/>
          <w:u w:color="000000"/>
        </w:rPr>
        <w:t>Chaque pays membre dispose d’une voix au Conseil des gouverneurs de la BCE, peu importe sa taille. L’arrivée de la Bulgarie en tant que 21</w:t>
      </w:r>
      <w:r w:rsidR="000E60CA" w:rsidRPr="0095127E">
        <w:rPr>
          <w:rStyle w:val="Aucun"/>
          <w:rFonts w:ascii="Aptos" w:hAnsi="Aptos"/>
          <w:u w:color="000000"/>
          <w:vertAlign w:val="superscript"/>
        </w:rPr>
        <w:t>e</w:t>
      </w:r>
      <w:r w:rsidR="000E60CA" w:rsidRPr="00CF595A">
        <w:rPr>
          <w:rStyle w:val="Aucun"/>
          <w:rFonts w:ascii="Aptos" w:hAnsi="Aptos"/>
          <w:u w:color="000000"/>
        </w:rPr>
        <w:t xml:space="preserve"> membre pourrait jouer un rôle marginal </w:t>
      </w:r>
      <w:r w:rsidR="000E60CA" w:rsidRPr="00CF595A">
        <w:rPr>
          <w:rStyle w:val="Aucun"/>
          <w:rFonts w:ascii="Aptos" w:hAnsi="Aptos"/>
          <w:u w:color="000000"/>
        </w:rPr>
        <w:lastRenderedPageBreak/>
        <w:t>dans les décisions prises par cette instance. Ainsi, en cas de vote très serré (sur le niveau des taux directeurs par exemple), elle pourrait potentiellement faire basculer une décision.</w:t>
      </w:r>
    </w:p>
    <w:p w14:paraId="3A0D5AE3" w14:textId="30045C4C" w:rsidR="00C14820" w:rsidRPr="00CF595A" w:rsidRDefault="00CF595A" w:rsidP="00CF595A">
      <w:pPr>
        <w:pStyle w:val="Pardfaut"/>
        <w:spacing w:before="0"/>
        <w:jc w:val="both"/>
        <w:rPr>
          <w:rFonts w:ascii="Aptos" w:hAnsi="Aptos"/>
          <w:u w:color="000000"/>
        </w:rPr>
      </w:pPr>
      <w:r>
        <w:rPr>
          <w:rStyle w:val="Aucun"/>
          <w:rFonts w:ascii="Aptos" w:hAnsi="Aptos"/>
          <w:u w:color="000000"/>
        </w:rPr>
        <w:t xml:space="preserve">6. </w:t>
      </w:r>
      <w:r w:rsidR="000E60CA" w:rsidRPr="00CF595A">
        <w:rPr>
          <w:rStyle w:val="Aucun"/>
          <w:rFonts w:ascii="Aptos" w:hAnsi="Aptos"/>
          <w:u w:color="000000"/>
        </w:rPr>
        <w:t>En théorie</w:t>
      </w:r>
      <w:r w:rsidR="0095127E">
        <w:rPr>
          <w:rStyle w:val="Aucun"/>
          <w:rFonts w:ascii="Aptos" w:hAnsi="Aptos"/>
          <w:u w:color="000000"/>
        </w:rPr>
        <w:t>,</w:t>
      </w:r>
      <w:r w:rsidR="000E60CA" w:rsidRPr="00CF595A">
        <w:rPr>
          <w:rStyle w:val="Aucun"/>
          <w:rFonts w:ascii="Aptos" w:hAnsi="Aptos"/>
          <w:u w:color="000000"/>
        </w:rPr>
        <w:t xml:space="preserve"> tous les pays de l’UE (sauf le Danemark, qui dispose d’une dérogation) sont tenus d’adopter l’euro. Cependant, certains pays (comme la Pologne, la Hongrie ou la Suède) tardent à le faire, soit pour des raisons économiques (volonté de conserver la possibilité de décider de leur propre politique monétaire)</w:t>
      </w:r>
      <w:r w:rsidR="00E24D6E">
        <w:rPr>
          <w:rStyle w:val="Aucun"/>
          <w:rFonts w:ascii="Aptos" w:hAnsi="Aptos"/>
          <w:u w:color="000000"/>
        </w:rPr>
        <w:t xml:space="preserve">, </w:t>
      </w:r>
      <w:r w:rsidR="000E60CA" w:rsidRPr="00CF595A">
        <w:rPr>
          <w:rStyle w:val="Aucun"/>
          <w:rFonts w:ascii="Aptos" w:hAnsi="Aptos"/>
          <w:u w:color="000000"/>
        </w:rPr>
        <w:t>soit pour des raisons politiques (affirmation de la souveraineté nationale et identité propre à travers la maîtrise d’une monnaie nationale).</w:t>
      </w:r>
    </w:p>
    <w:sectPr w:rsidR="00C14820" w:rsidRPr="00CF595A">
      <w:headerReference w:type="default" r:id="rId9"/>
      <w:footerReference w:type="default" r:id="rId10"/>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22497" w14:textId="77777777" w:rsidR="002406E5" w:rsidRDefault="002406E5">
      <w:r>
        <w:separator/>
      </w:r>
    </w:p>
  </w:endnote>
  <w:endnote w:type="continuationSeparator" w:id="0">
    <w:p w14:paraId="6FFF92AB" w14:textId="77777777" w:rsidR="002406E5" w:rsidRDefault="00240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8194968"/>
      <w:docPartObj>
        <w:docPartGallery w:val="Page Numbers (Bottom of Page)"/>
        <w:docPartUnique/>
      </w:docPartObj>
    </w:sdtPr>
    <w:sdtEndPr/>
    <w:sdtContent>
      <w:p w14:paraId="454429E8" w14:textId="104C3B27" w:rsidR="006675B6" w:rsidRDefault="006675B6">
        <w:pPr>
          <w:pStyle w:val="Pieddepage"/>
          <w:jc w:val="right"/>
        </w:pPr>
        <w:r>
          <w:fldChar w:fldCharType="begin"/>
        </w:r>
        <w:r>
          <w:instrText>PAGE   \* MERGEFORMAT</w:instrText>
        </w:r>
        <w:r>
          <w:fldChar w:fldCharType="separate"/>
        </w:r>
        <w:r>
          <w:rPr>
            <w:lang w:val="fr-FR"/>
          </w:rPr>
          <w:t>2</w:t>
        </w:r>
        <w:r>
          <w:fldChar w:fldCharType="end"/>
        </w:r>
      </w:p>
    </w:sdtContent>
  </w:sdt>
  <w:p w14:paraId="3A0D5AE5" w14:textId="77777777" w:rsidR="00C14820" w:rsidRDefault="00C1482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D2ADC" w14:textId="77777777" w:rsidR="002406E5" w:rsidRDefault="002406E5">
      <w:r>
        <w:separator/>
      </w:r>
    </w:p>
  </w:footnote>
  <w:footnote w:type="continuationSeparator" w:id="0">
    <w:p w14:paraId="027312AE" w14:textId="77777777" w:rsidR="002406E5" w:rsidRDefault="00240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4AC26" w14:textId="2A94D875" w:rsidR="006C44DA" w:rsidRPr="007D48D0" w:rsidRDefault="006C44DA" w:rsidP="006C44DA">
    <w:pPr>
      <w:pStyle w:val="En-tte"/>
      <w:jc w:val="right"/>
      <w:rPr>
        <w:rFonts w:ascii="Aptos" w:hAnsi="Aptos"/>
      </w:rPr>
    </w:pPr>
    <w:r w:rsidRPr="007D48D0">
      <w:rPr>
        <w:rFonts w:ascii="Aptos" w:hAnsi="Aptos" w:cs="Calibri"/>
      </w:rPr>
      <w:t>Fiche d’exploitation pédagogique</w:t>
    </w:r>
  </w:p>
  <w:p w14:paraId="127ED69B" w14:textId="23B155C6" w:rsidR="006C44DA" w:rsidRPr="006C44DA" w:rsidRDefault="006C44DA" w:rsidP="006C44DA">
    <w:pPr>
      <w:pStyle w:val="En-tte"/>
      <w:jc w:val="right"/>
      <w:rPr>
        <w:rFonts w:ascii="Aptos" w:hAnsi="Aptos" w:cs="Calibri"/>
        <w:sz w:val="22"/>
        <w:szCs w:val="22"/>
      </w:rPr>
    </w:pPr>
    <w:r w:rsidRPr="007D48D0">
      <w:rPr>
        <w:rFonts w:ascii="Aptos" w:hAnsi="Aptos" w:cs="Calibri"/>
      </w:rPr>
      <w:t>Actu SES</w:t>
    </w:r>
    <w:r>
      <w:rPr>
        <w:rFonts w:ascii="Aptos" w:hAnsi="Aptos" w:cs="Calibri"/>
      </w:rPr>
      <w:t xml:space="preserve">, </w:t>
    </w:r>
    <w:r w:rsidRPr="007D48D0">
      <w:rPr>
        <w:rFonts w:ascii="Aptos" w:hAnsi="Aptos" w:cs="Calibri"/>
      </w:rPr>
      <w:t xml:space="preserve">© </w:t>
    </w:r>
    <w:r>
      <w:rPr>
        <w:rFonts w:ascii="Aptos" w:hAnsi="Aptos" w:cs="Calibri"/>
      </w:rPr>
      <w:t xml:space="preserve">Les Éditions </w:t>
    </w:r>
    <w:r w:rsidRPr="007D48D0">
      <w:rPr>
        <w:rFonts w:ascii="Aptos" w:hAnsi="Aptos" w:cs="Calibri"/>
      </w:rPr>
      <w:t>Hatier – Nicolas Olivier</w:t>
    </w:r>
  </w:p>
  <w:p w14:paraId="3A0D5AE4" w14:textId="77777777" w:rsidR="00C14820" w:rsidRDefault="00C1482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07D3D"/>
    <w:multiLevelType w:val="hybridMultilevel"/>
    <w:tmpl w:val="315E2A9E"/>
    <w:numStyleLink w:val="Nombres"/>
  </w:abstractNum>
  <w:abstractNum w:abstractNumId="1" w15:restartNumberingAfterBreak="0">
    <w:nsid w:val="2D60089A"/>
    <w:multiLevelType w:val="hybridMultilevel"/>
    <w:tmpl w:val="A15A8C62"/>
    <w:numStyleLink w:val="Style2import"/>
  </w:abstractNum>
  <w:abstractNum w:abstractNumId="2" w15:restartNumberingAfterBreak="0">
    <w:nsid w:val="36326C75"/>
    <w:multiLevelType w:val="hybridMultilevel"/>
    <w:tmpl w:val="315E2A9E"/>
    <w:styleLink w:val="Nombres"/>
    <w:lvl w:ilvl="0" w:tplc="589CBAEC">
      <w:start w:val="1"/>
      <w:numFmt w:val="decimal"/>
      <w:lvlText w:val="%1."/>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61EE3D20">
      <w:start w:val="1"/>
      <w:numFmt w:val="decimal"/>
      <w:lvlText w:val="%2."/>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71727EF0">
      <w:start w:val="1"/>
      <w:numFmt w:val="decimal"/>
      <w:lvlText w:val="%3."/>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4C941F44">
      <w:start w:val="1"/>
      <w:numFmt w:val="decimal"/>
      <w:lvlText w:val="%4."/>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s>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C7080E8C">
      <w:start w:val="1"/>
      <w:numFmt w:val="decimal"/>
      <w:lvlText w:val="%5."/>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5A58343A">
      <w:start w:val="1"/>
      <w:numFmt w:val="decimal"/>
      <w:lvlText w:val="%6."/>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242AC536">
      <w:start w:val="1"/>
      <w:numFmt w:val="decimal"/>
      <w:lvlText w:val="%7."/>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1FD4720A">
      <w:start w:val="1"/>
      <w:numFmt w:val="decimal"/>
      <w:lvlText w:val="%8."/>
      <w:lvlJc w:val="left"/>
      <w:pPr>
        <w:tabs>
          <w:tab w:val="left" w:pos="708"/>
          <w:tab w:val="left" w:pos="1416"/>
          <w:tab w:val="left" w:pos="2124"/>
          <w:tab w:val="left" w:pos="3540"/>
          <w:tab w:val="left" w:pos="4248"/>
          <w:tab w:val="left" w:pos="4956"/>
          <w:tab w:val="left" w:pos="5664"/>
          <w:tab w:val="left" w:pos="6372"/>
          <w:tab w:val="left" w:pos="7080"/>
          <w:tab w:val="left" w:pos="7788"/>
          <w:tab w:val="left" w:pos="8496"/>
          <w:tab w:val="left" w:pos="9204"/>
        </w:tabs>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62D885E4">
      <w:start w:val="1"/>
      <w:numFmt w:val="decimal"/>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9824DE7"/>
    <w:multiLevelType w:val="hybridMultilevel"/>
    <w:tmpl w:val="A15A8C62"/>
    <w:styleLink w:val="Style2import"/>
    <w:lvl w:ilvl="0" w:tplc="334EB362">
      <w:start w:val="1"/>
      <w:numFmt w:val="decimal"/>
      <w:lvlText w:val="%1."/>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4070535C">
      <w:start w:val="1"/>
      <w:numFmt w:val="lowerLetter"/>
      <w:lvlText w:val="%2."/>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47B08342">
      <w:start w:val="1"/>
      <w:numFmt w:val="lowerRoman"/>
      <w:lvlText w:val="%3."/>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06EA724">
      <w:start w:val="1"/>
      <w:numFmt w:val="decimal"/>
      <w:lvlText w:val="%4."/>
      <w:lvlJc w:val="left"/>
      <w:pPr>
        <w:tabs>
          <w:tab w:val="left" w:pos="708"/>
          <w:tab w:val="left" w:pos="1416"/>
          <w:tab w:val="left" w:pos="2124"/>
          <w:tab w:val="left" w:pos="3540"/>
          <w:tab w:val="left" w:pos="4248"/>
          <w:tab w:val="left" w:pos="4956"/>
          <w:tab w:val="left" w:pos="5664"/>
          <w:tab w:val="left" w:pos="6372"/>
          <w:tab w:val="left" w:pos="7080"/>
          <w:tab w:val="left" w:pos="7788"/>
          <w:tab w:val="left" w:pos="8496"/>
          <w:tab w:val="left" w:pos="9204"/>
        </w:tabs>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93581448">
      <w:start w:val="1"/>
      <w:numFmt w:val="lowerLetter"/>
      <w:lvlText w:val="%5."/>
      <w:lvlJc w:val="left"/>
      <w:pPr>
        <w:tabs>
          <w:tab w:val="left" w:pos="708"/>
          <w:tab w:val="left" w:pos="1416"/>
          <w:tab w:val="left" w:pos="2124"/>
          <w:tab w:val="left" w:pos="2832"/>
          <w:tab w:val="left" w:pos="4248"/>
          <w:tab w:val="left" w:pos="4956"/>
          <w:tab w:val="left" w:pos="5664"/>
          <w:tab w:val="left" w:pos="6372"/>
          <w:tab w:val="left" w:pos="7080"/>
          <w:tab w:val="left" w:pos="7788"/>
          <w:tab w:val="left" w:pos="8496"/>
          <w:tab w:val="left" w:pos="9204"/>
        </w:tabs>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C548428">
      <w:start w:val="1"/>
      <w:numFmt w:val="lowerRoman"/>
      <w:lvlText w:val="%6."/>
      <w:lvlJc w:val="left"/>
      <w:pPr>
        <w:tabs>
          <w:tab w:val="left" w:pos="708"/>
          <w:tab w:val="left" w:pos="1416"/>
          <w:tab w:val="left" w:pos="2124"/>
          <w:tab w:val="left" w:pos="2832"/>
          <w:tab w:val="left" w:pos="3540"/>
          <w:tab w:val="left" w:pos="4956"/>
          <w:tab w:val="left" w:pos="5664"/>
          <w:tab w:val="left" w:pos="6372"/>
          <w:tab w:val="left" w:pos="7080"/>
          <w:tab w:val="left" w:pos="7788"/>
          <w:tab w:val="left" w:pos="8496"/>
          <w:tab w:val="left" w:pos="9204"/>
        </w:tabs>
        <w:ind w:left="432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5212E634">
      <w:start w:val="1"/>
      <w:numFmt w:val="decimal"/>
      <w:lvlText w:val="%7."/>
      <w:lvlJc w:val="left"/>
      <w:pPr>
        <w:tabs>
          <w:tab w:val="left" w:pos="708"/>
          <w:tab w:val="left" w:pos="1416"/>
          <w:tab w:val="left" w:pos="2124"/>
          <w:tab w:val="left" w:pos="2832"/>
          <w:tab w:val="left" w:pos="3540"/>
          <w:tab w:val="left" w:pos="4248"/>
          <w:tab w:val="left" w:pos="5664"/>
          <w:tab w:val="left" w:pos="6372"/>
          <w:tab w:val="left" w:pos="7080"/>
          <w:tab w:val="left" w:pos="7788"/>
          <w:tab w:val="left" w:pos="8496"/>
          <w:tab w:val="left" w:pos="9204"/>
        </w:tabs>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DD86EC28">
      <w:start w:val="1"/>
      <w:numFmt w:val="lowerLetter"/>
      <w:lvlText w:val="%8."/>
      <w:lvlJc w:val="left"/>
      <w:pPr>
        <w:tabs>
          <w:tab w:val="left" w:pos="708"/>
          <w:tab w:val="left" w:pos="1416"/>
          <w:tab w:val="left" w:pos="2124"/>
          <w:tab w:val="left" w:pos="2832"/>
          <w:tab w:val="left" w:pos="3540"/>
          <w:tab w:val="left" w:pos="4248"/>
          <w:tab w:val="left" w:pos="4956"/>
          <w:tab w:val="left" w:pos="6372"/>
          <w:tab w:val="left" w:pos="7080"/>
          <w:tab w:val="left" w:pos="7788"/>
          <w:tab w:val="left" w:pos="8496"/>
          <w:tab w:val="left" w:pos="9204"/>
        </w:tabs>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83EEDE66">
      <w:start w:val="1"/>
      <w:numFmt w:val="lowerRoman"/>
      <w:lvlText w:val="%9."/>
      <w:lvlJc w:val="left"/>
      <w:pPr>
        <w:tabs>
          <w:tab w:val="left" w:pos="708"/>
          <w:tab w:val="left" w:pos="1416"/>
          <w:tab w:val="left" w:pos="2124"/>
          <w:tab w:val="left" w:pos="2832"/>
          <w:tab w:val="left" w:pos="3540"/>
          <w:tab w:val="left" w:pos="4248"/>
          <w:tab w:val="left" w:pos="4956"/>
          <w:tab w:val="left" w:pos="5664"/>
          <w:tab w:val="left" w:pos="7080"/>
          <w:tab w:val="left" w:pos="7788"/>
          <w:tab w:val="left" w:pos="8496"/>
          <w:tab w:val="left" w:pos="9204"/>
        </w:tabs>
        <w:ind w:left="648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530293660">
    <w:abstractNumId w:val="3"/>
  </w:num>
  <w:num w:numId="2" w16cid:durableId="884878238">
    <w:abstractNumId w:val="1"/>
  </w:num>
  <w:num w:numId="3" w16cid:durableId="494952535">
    <w:abstractNumId w:val="2"/>
  </w:num>
  <w:num w:numId="4" w16cid:durableId="1861161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820"/>
    <w:rsid w:val="000E60CA"/>
    <w:rsid w:val="002406E5"/>
    <w:rsid w:val="005221D2"/>
    <w:rsid w:val="006675B6"/>
    <w:rsid w:val="006C44DA"/>
    <w:rsid w:val="009102A9"/>
    <w:rsid w:val="0095127E"/>
    <w:rsid w:val="00973C68"/>
    <w:rsid w:val="00C14820"/>
    <w:rsid w:val="00CF595A"/>
    <w:rsid w:val="00D14919"/>
    <w:rsid w:val="00E24D6E"/>
    <w:rsid w:val="00F23E5D"/>
    <w:rsid w:val="00F631B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D5ACD"/>
  <w15:docId w15:val="{2EE6099F-D101-400F-B369-7C2D77C42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orps">
    <w:name w:val="Corps"/>
    <w:rPr>
      <w:rFonts w:ascii="Helvetica Neue" w:hAnsi="Helvetica Neue" w:cs="Arial Unicode MS"/>
      <w:color w:val="000000"/>
      <w:sz w:val="22"/>
      <w:szCs w:val="22"/>
      <w14:textOutline w14:w="0" w14:cap="flat" w14:cmpd="sng" w14:algn="ctr">
        <w14:noFill/>
        <w14:prstDash w14:val="solid"/>
        <w14:bevel/>
      </w14:textOutline>
    </w:rPr>
  </w:style>
  <w:style w:type="character" w:customStyle="1" w:styleId="Aucun">
    <w:name w:val="Aucun"/>
    <w:rPr>
      <w:lang w:val="fr-FR"/>
    </w:rPr>
  </w:style>
  <w:style w:type="character" w:customStyle="1" w:styleId="Hyperlink0">
    <w:name w:val="Hyperlink.0"/>
    <w:basedOn w:val="Lienhypertexte"/>
    <w:rPr>
      <w:u w:val="single"/>
    </w:rPr>
  </w:style>
  <w:style w:type="paragraph" w:customStyle="1" w:styleId="Pardfaut">
    <w:name w:val="Par défaut"/>
    <w:pPr>
      <w:spacing w:before="160"/>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Style2import">
    <w:name w:val="Style 2 importé"/>
    <w:pPr>
      <w:numPr>
        <w:numId w:val="1"/>
      </w:numPr>
    </w:pPr>
  </w:style>
  <w:style w:type="numbering" w:customStyle="1" w:styleId="Nombres">
    <w:name w:val="Nombres"/>
    <w:pPr>
      <w:numPr>
        <w:numId w:val="3"/>
      </w:numPr>
    </w:pPr>
  </w:style>
  <w:style w:type="paragraph" w:styleId="En-tte">
    <w:name w:val="header"/>
    <w:basedOn w:val="Normal"/>
    <w:link w:val="En-tteCar"/>
    <w:uiPriority w:val="99"/>
    <w:unhideWhenUsed/>
    <w:rsid w:val="006C44DA"/>
    <w:pPr>
      <w:tabs>
        <w:tab w:val="center" w:pos="4536"/>
        <w:tab w:val="right" w:pos="9072"/>
      </w:tabs>
    </w:pPr>
  </w:style>
  <w:style w:type="character" w:customStyle="1" w:styleId="En-tteCar">
    <w:name w:val="En-tête Car"/>
    <w:basedOn w:val="Policepardfaut"/>
    <w:link w:val="En-tte"/>
    <w:uiPriority w:val="99"/>
    <w:rsid w:val="006C44DA"/>
    <w:rPr>
      <w:sz w:val="24"/>
      <w:szCs w:val="24"/>
      <w:lang w:val="en-US" w:eastAsia="en-US"/>
    </w:rPr>
  </w:style>
  <w:style w:type="paragraph" w:styleId="Pieddepage">
    <w:name w:val="footer"/>
    <w:basedOn w:val="Normal"/>
    <w:link w:val="PieddepageCar"/>
    <w:uiPriority w:val="99"/>
    <w:unhideWhenUsed/>
    <w:rsid w:val="006C44DA"/>
    <w:pPr>
      <w:tabs>
        <w:tab w:val="center" w:pos="4536"/>
        <w:tab w:val="right" w:pos="9072"/>
      </w:tabs>
    </w:pPr>
  </w:style>
  <w:style w:type="character" w:customStyle="1" w:styleId="PieddepageCar">
    <w:name w:val="Pied de page Car"/>
    <w:basedOn w:val="Policepardfaut"/>
    <w:link w:val="Pieddepage"/>
    <w:uiPriority w:val="99"/>
    <w:rsid w:val="006C44DA"/>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radiofrance.fr/franceculture/podcasts/le-journal-de-l-eco/la-bulgarie-adopte-l-euro-risques-et-avantages-pour-la-zone-euro-632028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C483E-CB3C-4D77-A02B-490DFDC25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533</Words>
  <Characters>2934</Characters>
  <Application>Microsoft Office Word</Application>
  <DocSecurity>0</DocSecurity>
  <Lines>24</Lines>
  <Paragraphs>6</Paragraphs>
  <ScaleCrop>false</ScaleCrop>
  <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HUTTEPAIN SOPHIE</cp:lastModifiedBy>
  <cp:revision>10</cp:revision>
  <dcterms:created xsi:type="dcterms:W3CDTF">2026-09-02T13:47:00Z</dcterms:created>
  <dcterms:modified xsi:type="dcterms:W3CDTF">2026-10-16T13:52:00Z</dcterms:modified>
</cp:coreProperties>
</file>